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AEC6C" w14:textId="77777777" w:rsidR="00B921EA" w:rsidRDefault="00BE3086">
      <w:pPr>
        <w:pBdr>
          <w:top w:val="nil"/>
          <w:left w:val="nil"/>
          <w:bottom w:val="nil"/>
          <w:right w:val="nil"/>
          <w:between w:val="nil"/>
        </w:pBdr>
        <w:rPr>
          <w:b/>
          <w:color w:val="000000"/>
          <w:sz w:val="36"/>
          <w:szCs w:val="36"/>
        </w:rPr>
      </w:pPr>
      <w:bookmarkStart w:id="0" w:name="bookmark=id.gjdgxs" w:colFirst="0" w:colLast="0"/>
      <w:bookmarkEnd w:id="0"/>
      <w:r>
        <w:rPr>
          <w:b/>
          <w:color w:val="000000"/>
          <w:sz w:val="36"/>
          <w:szCs w:val="36"/>
        </w:rPr>
        <w:t>USDA</w:t>
      </w:r>
      <w:r>
        <w:rPr>
          <w:b/>
          <w:i/>
          <w:color w:val="000000"/>
          <w:sz w:val="36"/>
          <w:szCs w:val="36"/>
        </w:rPr>
        <w:t xml:space="preserve"> Vaccinium</w:t>
      </w:r>
      <w:r>
        <w:rPr>
          <w:b/>
          <w:color w:val="000000"/>
          <w:sz w:val="36"/>
          <w:szCs w:val="36"/>
        </w:rPr>
        <w:t xml:space="preserve"> Crop Vulnerability Statement FY 2023</w:t>
      </w:r>
    </w:p>
    <w:p w14:paraId="451AEC6D" w14:textId="77777777" w:rsidR="00B921EA" w:rsidRDefault="00BE3086">
      <w:pPr>
        <w:pBdr>
          <w:top w:val="nil"/>
          <w:left w:val="nil"/>
          <w:bottom w:val="nil"/>
          <w:right w:val="nil"/>
          <w:between w:val="nil"/>
        </w:pBdr>
        <w:rPr>
          <w:b/>
          <w:color w:val="000000"/>
          <w:sz w:val="36"/>
          <w:szCs w:val="36"/>
        </w:rPr>
      </w:pPr>
      <w:r>
        <w:rPr>
          <w:b/>
          <w:color w:val="000000"/>
          <w:sz w:val="36"/>
          <w:szCs w:val="36"/>
        </w:rPr>
        <w:t>Part 2: Cranberries</w:t>
      </w:r>
    </w:p>
    <w:p w14:paraId="451AEC6E" w14:textId="77777777" w:rsidR="00B921EA" w:rsidRDefault="00BE3086">
      <w:pPr>
        <w:pBdr>
          <w:top w:val="nil"/>
          <w:left w:val="nil"/>
          <w:bottom w:val="nil"/>
          <w:right w:val="nil"/>
          <w:between w:val="nil"/>
        </w:pBdr>
        <w:rPr>
          <w:b/>
          <w:color w:val="000000"/>
          <w:sz w:val="36"/>
          <w:szCs w:val="36"/>
        </w:rPr>
      </w:pPr>
      <w:r>
        <w:rPr>
          <w:b/>
          <w:color w:val="000000"/>
          <w:sz w:val="36"/>
          <w:szCs w:val="36"/>
        </w:rPr>
        <w:t>Small Fruit Crop Germplasm Committee</w:t>
      </w:r>
    </w:p>
    <w:p w14:paraId="451AEC6F" w14:textId="77777777" w:rsidR="00B921EA" w:rsidRDefault="00B921EA">
      <w:pPr>
        <w:pBdr>
          <w:top w:val="nil"/>
          <w:left w:val="nil"/>
          <w:bottom w:val="nil"/>
          <w:right w:val="nil"/>
          <w:between w:val="nil"/>
        </w:pBdr>
        <w:rPr>
          <w:b/>
          <w:color w:val="000000"/>
        </w:rPr>
      </w:pPr>
    </w:p>
    <w:p w14:paraId="451AEC70" w14:textId="77777777" w:rsidR="00B921EA" w:rsidRDefault="00BE3086">
      <w:pPr>
        <w:ind w:left="360"/>
        <w:rPr>
          <w:b/>
        </w:rPr>
      </w:pPr>
      <w:r>
        <w:rPr>
          <w:b/>
        </w:rPr>
        <w:t>Jeffrey Neyhart, USDA-ARS, Chatsworth, NJ</w:t>
      </w:r>
    </w:p>
    <w:p w14:paraId="451AEC71" w14:textId="77777777" w:rsidR="00B921EA" w:rsidRDefault="00BE3086">
      <w:pPr>
        <w:pBdr>
          <w:top w:val="nil"/>
          <w:left w:val="nil"/>
          <w:bottom w:val="nil"/>
          <w:right w:val="nil"/>
          <w:between w:val="nil"/>
        </w:pBdr>
        <w:ind w:left="360"/>
        <w:rPr>
          <w:b/>
          <w:color w:val="000000"/>
        </w:rPr>
      </w:pPr>
      <w:r>
        <w:rPr>
          <w:b/>
          <w:color w:val="000000"/>
        </w:rPr>
        <w:t xml:space="preserve">Kim Lewers, Chair Small Fruit Crop Germplasm Committee, Beltsville, </w:t>
      </w:r>
      <w:r>
        <w:rPr>
          <w:b/>
        </w:rPr>
        <w:t>MD</w:t>
      </w:r>
    </w:p>
    <w:p w14:paraId="451AEC72" w14:textId="77777777" w:rsidR="00B921EA" w:rsidRDefault="00BE3086">
      <w:pPr>
        <w:pBdr>
          <w:top w:val="nil"/>
          <w:left w:val="nil"/>
          <w:bottom w:val="nil"/>
          <w:right w:val="nil"/>
          <w:between w:val="nil"/>
        </w:pBdr>
        <w:ind w:left="360"/>
        <w:rPr>
          <w:b/>
        </w:rPr>
      </w:pPr>
      <w:r>
        <w:rPr>
          <w:b/>
        </w:rPr>
        <w:t>Leslie Holland, University of Wisconsin-Madison, Madison, WI</w:t>
      </w:r>
    </w:p>
    <w:p w14:paraId="451AEC73" w14:textId="77777777" w:rsidR="00B921EA" w:rsidRDefault="00BE3086">
      <w:pPr>
        <w:pBdr>
          <w:top w:val="nil"/>
          <w:left w:val="nil"/>
          <w:bottom w:val="nil"/>
          <w:right w:val="nil"/>
          <w:between w:val="nil"/>
        </w:pBdr>
        <w:ind w:left="360"/>
        <w:rPr>
          <w:b/>
          <w:color w:val="000000"/>
        </w:rPr>
      </w:pPr>
      <w:r>
        <w:rPr>
          <w:b/>
        </w:rPr>
        <w:t>Lindsay Wells-Hansen, Ocean Spray Cranberries, Inc., Chatsworth, NJ</w:t>
      </w:r>
    </w:p>
    <w:p w14:paraId="451AEC74" w14:textId="77777777" w:rsidR="00B921EA" w:rsidRDefault="00BE3086">
      <w:pPr>
        <w:pBdr>
          <w:top w:val="nil"/>
          <w:left w:val="nil"/>
          <w:bottom w:val="nil"/>
          <w:right w:val="nil"/>
          <w:between w:val="nil"/>
        </w:pBdr>
        <w:ind w:left="360"/>
        <w:rPr>
          <w:b/>
        </w:rPr>
      </w:pPr>
      <w:r>
        <w:rPr>
          <w:b/>
          <w:color w:val="000000"/>
        </w:rPr>
        <w:t>Juan Zalapa,</w:t>
      </w:r>
      <w:r>
        <w:rPr>
          <w:b/>
        </w:rPr>
        <w:t xml:space="preserve"> </w:t>
      </w:r>
      <w:r>
        <w:rPr>
          <w:b/>
          <w:color w:val="000000"/>
        </w:rPr>
        <w:t>USDA-ARS, Madison, W</w:t>
      </w:r>
      <w:r>
        <w:rPr>
          <w:b/>
        </w:rPr>
        <w:t>I</w:t>
      </w:r>
    </w:p>
    <w:p w14:paraId="451AEC75" w14:textId="77777777" w:rsidR="00B921EA" w:rsidRDefault="00BE3086">
      <w:pPr>
        <w:pBdr>
          <w:top w:val="nil"/>
          <w:left w:val="nil"/>
          <w:bottom w:val="nil"/>
          <w:right w:val="nil"/>
          <w:between w:val="nil"/>
        </w:pBdr>
        <w:ind w:left="360"/>
        <w:rPr>
          <w:b/>
        </w:rPr>
      </w:pPr>
      <w:r>
        <w:rPr>
          <w:b/>
        </w:rPr>
        <w:t>Jennifer Johnson-Cica</w:t>
      </w:r>
      <w:r>
        <w:rPr>
          <w:b/>
        </w:rPr>
        <w:t>lese, Rutgers University, Chatsworth, NJ</w:t>
      </w:r>
    </w:p>
    <w:p w14:paraId="451AEC76" w14:textId="77777777" w:rsidR="00B921EA" w:rsidRDefault="00BE3086">
      <w:pPr>
        <w:ind w:left="360"/>
        <w:rPr>
          <w:b/>
        </w:rPr>
      </w:pPr>
      <w:r>
        <w:rPr>
          <w:b/>
        </w:rPr>
        <w:t>Nahla Bassil, USDA-ARS, Corvallis, OR</w:t>
      </w:r>
    </w:p>
    <w:p w14:paraId="451AEC77" w14:textId="77777777" w:rsidR="00B921EA" w:rsidRDefault="00BE3086">
      <w:pPr>
        <w:pBdr>
          <w:top w:val="nil"/>
          <w:left w:val="nil"/>
          <w:bottom w:val="nil"/>
          <w:right w:val="nil"/>
          <w:between w:val="nil"/>
        </w:pBdr>
        <w:ind w:left="360"/>
        <w:rPr>
          <w:b/>
          <w:color w:val="000000"/>
        </w:rPr>
      </w:pPr>
      <w:r>
        <w:rPr>
          <w:b/>
          <w:color w:val="000000"/>
        </w:rPr>
        <w:t>Massimo Iorizzo, North Carolina State University, Raleigh, N</w:t>
      </w:r>
      <w:r>
        <w:rPr>
          <w:b/>
        </w:rPr>
        <w:t>C</w:t>
      </w:r>
    </w:p>
    <w:p w14:paraId="451AEC78" w14:textId="77777777" w:rsidR="00B921EA" w:rsidRDefault="00BE3086">
      <w:pPr>
        <w:pBdr>
          <w:top w:val="nil"/>
          <w:left w:val="nil"/>
          <w:bottom w:val="nil"/>
          <w:right w:val="nil"/>
          <w:between w:val="nil"/>
        </w:pBdr>
        <w:ind w:left="360"/>
        <w:rPr>
          <w:b/>
          <w:color w:val="000000"/>
        </w:rPr>
      </w:pPr>
      <w:r>
        <w:rPr>
          <w:b/>
          <w:color w:val="000000"/>
        </w:rPr>
        <w:t xml:space="preserve">Ioannis </w:t>
      </w:r>
      <w:proofErr w:type="spellStart"/>
      <w:r>
        <w:rPr>
          <w:b/>
          <w:color w:val="000000"/>
        </w:rPr>
        <w:t>Tzanetakis</w:t>
      </w:r>
      <w:proofErr w:type="spellEnd"/>
      <w:r>
        <w:rPr>
          <w:b/>
          <w:color w:val="000000"/>
        </w:rPr>
        <w:t>, University of Arkansas, Fayetteville, AR</w:t>
      </w:r>
    </w:p>
    <w:p w14:paraId="451AEC79" w14:textId="2C006948" w:rsidR="00B921EA" w:rsidRDefault="00B921EA">
      <w:pPr>
        <w:pBdr>
          <w:top w:val="nil"/>
          <w:left w:val="nil"/>
          <w:bottom w:val="nil"/>
          <w:right w:val="nil"/>
          <w:between w:val="nil"/>
        </w:pBdr>
        <w:ind w:left="360"/>
        <w:rPr>
          <w:b/>
          <w:color w:val="000000"/>
        </w:rPr>
      </w:pPr>
    </w:p>
    <w:p w14:paraId="451AEC7A" w14:textId="75227959" w:rsidR="00B921EA" w:rsidRDefault="00B921EA">
      <w:pPr>
        <w:pBdr>
          <w:top w:val="nil"/>
          <w:left w:val="nil"/>
          <w:bottom w:val="nil"/>
          <w:right w:val="nil"/>
          <w:between w:val="nil"/>
        </w:pBdr>
        <w:ind w:left="360"/>
        <w:rPr>
          <w:b/>
          <w:color w:val="000000"/>
        </w:rPr>
      </w:pPr>
    </w:p>
    <w:p w14:paraId="451AEC7B" w14:textId="1EC331A9" w:rsidR="00B921EA" w:rsidRDefault="00735616">
      <w:pPr>
        <w:pBdr>
          <w:top w:val="nil"/>
          <w:left w:val="nil"/>
          <w:bottom w:val="nil"/>
          <w:right w:val="nil"/>
          <w:between w:val="nil"/>
        </w:pBdr>
        <w:ind w:left="360"/>
        <w:rPr>
          <w:b/>
          <w:color w:val="000000"/>
        </w:rPr>
      </w:pPr>
      <w:r>
        <w:rPr>
          <w:noProof/>
        </w:rPr>
        <w:drawing>
          <wp:anchor distT="0" distB="0" distL="114300" distR="114300" simplePos="0" relativeHeight="251661312" behindDoc="0" locked="0" layoutInCell="1" hidden="0" allowOverlap="1" wp14:anchorId="451AEE8D" wp14:editId="725035A4">
            <wp:simplePos x="0" y="0"/>
            <wp:positionH relativeFrom="column">
              <wp:posOffset>3569970</wp:posOffset>
            </wp:positionH>
            <wp:positionV relativeFrom="paragraph">
              <wp:posOffset>137160</wp:posOffset>
            </wp:positionV>
            <wp:extent cx="2110154" cy="2743200"/>
            <wp:effectExtent l="0" t="0" r="4445" b="0"/>
            <wp:wrapSquare wrapText="bothSides" distT="0" distB="0" distL="114300" distR="114300"/>
            <wp:docPr id="228" name="image3.jpg" descr="C:\Users\kim.hummer\Documents\countries-exploration\Hokkaido2004 - Hummer\07142004\vaccinium.oxycoccos.flow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C:\Users\kim.hummer\Documents\countries-exploration\Hokkaido2004 - Hummer\07142004\vaccinium.oxycoccos.flower1.jpg"/>
                    <pic:cNvPicPr preferRelativeResize="0"/>
                  </pic:nvPicPr>
                  <pic:blipFill>
                    <a:blip r:embed="rId8"/>
                    <a:srcRect/>
                    <a:stretch>
                      <a:fillRect/>
                    </a:stretch>
                  </pic:blipFill>
                  <pic:spPr>
                    <a:xfrm>
                      <a:off x="0" y="0"/>
                      <a:ext cx="2110154" cy="274320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64384" behindDoc="0" locked="0" layoutInCell="1" allowOverlap="1" wp14:anchorId="781050A4" wp14:editId="558E4729">
            <wp:simplePos x="0" y="0"/>
            <wp:positionH relativeFrom="column">
              <wp:posOffset>182880</wp:posOffset>
            </wp:positionH>
            <wp:positionV relativeFrom="paragraph">
              <wp:posOffset>136857</wp:posOffset>
            </wp:positionV>
            <wp:extent cx="3196424" cy="2744120"/>
            <wp:effectExtent l="0" t="0" r="4445" b="0"/>
            <wp:wrapNone/>
            <wp:docPr id="1376898962" name="Picture 1" descr="A picture containing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98962" name="Picture 1" descr="A picture containing outdoor, plan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655" t="31632" r="12477" b="4457"/>
                    <a:stretch/>
                  </pic:blipFill>
                  <pic:spPr bwMode="auto">
                    <a:xfrm>
                      <a:off x="0" y="0"/>
                      <a:ext cx="3196424" cy="2744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3086">
        <w:rPr>
          <w:color w:val="000000"/>
        </w:rPr>
        <w:t xml:space="preserve"> </w:t>
      </w:r>
    </w:p>
    <w:p w14:paraId="451AEC7C" w14:textId="01C9F7DA" w:rsidR="00B921EA" w:rsidRDefault="00B921EA">
      <w:pPr>
        <w:rPr>
          <w:b/>
        </w:rPr>
      </w:pPr>
    </w:p>
    <w:p w14:paraId="451AEC7D" w14:textId="27D409BE" w:rsidR="00B921EA" w:rsidRDefault="00B921EA">
      <w:pPr>
        <w:rPr>
          <w:b/>
        </w:rPr>
      </w:pPr>
    </w:p>
    <w:p w14:paraId="451AEC7E" w14:textId="6C437036" w:rsidR="00B921EA" w:rsidRDefault="00B921EA">
      <w:pPr>
        <w:rPr>
          <w:b/>
        </w:rPr>
      </w:pPr>
    </w:p>
    <w:p w14:paraId="451AEC7F" w14:textId="5074AC8E" w:rsidR="00B921EA" w:rsidRDefault="00B921EA">
      <w:pPr>
        <w:rPr>
          <w:b/>
        </w:rPr>
      </w:pPr>
    </w:p>
    <w:p w14:paraId="451AEC80" w14:textId="390840DB" w:rsidR="00B921EA" w:rsidRDefault="00B921EA">
      <w:pPr>
        <w:rPr>
          <w:b/>
        </w:rPr>
      </w:pPr>
    </w:p>
    <w:p w14:paraId="451AEC81" w14:textId="799F23B1" w:rsidR="00B921EA" w:rsidRDefault="00B921EA">
      <w:pPr>
        <w:rPr>
          <w:b/>
        </w:rPr>
      </w:pPr>
    </w:p>
    <w:p w14:paraId="451AEC82" w14:textId="23E635FF" w:rsidR="00B921EA" w:rsidRDefault="00B921EA">
      <w:pPr>
        <w:rPr>
          <w:b/>
        </w:rPr>
      </w:pPr>
    </w:p>
    <w:p w14:paraId="451AEC83" w14:textId="77002A1D" w:rsidR="00B921EA" w:rsidRDefault="00B921EA">
      <w:pPr>
        <w:pBdr>
          <w:top w:val="nil"/>
          <w:left w:val="nil"/>
          <w:bottom w:val="nil"/>
          <w:right w:val="nil"/>
          <w:between w:val="nil"/>
        </w:pBdr>
        <w:ind w:left="360"/>
        <w:rPr>
          <w:b/>
          <w:color w:val="000000"/>
        </w:rPr>
      </w:pPr>
    </w:p>
    <w:p w14:paraId="451AEC84" w14:textId="1FC45E88" w:rsidR="00B921EA" w:rsidRDefault="00B921EA">
      <w:pPr>
        <w:pBdr>
          <w:top w:val="nil"/>
          <w:left w:val="nil"/>
          <w:bottom w:val="nil"/>
          <w:right w:val="nil"/>
          <w:between w:val="nil"/>
        </w:pBdr>
        <w:ind w:left="360"/>
        <w:rPr>
          <w:b/>
          <w:color w:val="000000"/>
        </w:rPr>
      </w:pPr>
    </w:p>
    <w:p w14:paraId="451AEC85" w14:textId="1EB83C56" w:rsidR="00B921EA" w:rsidRDefault="00B921EA">
      <w:pPr>
        <w:pBdr>
          <w:top w:val="nil"/>
          <w:left w:val="nil"/>
          <w:bottom w:val="nil"/>
          <w:right w:val="nil"/>
          <w:between w:val="nil"/>
        </w:pBdr>
        <w:ind w:left="360"/>
        <w:rPr>
          <w:b/>
          <w:color w:val="000000"/>
        </w:rPr>
      </w:pPr>
    </w:p>
    <w:p w14:paraId="451AEC86" w14:textId="225927D8" w:rsidR="00B921EA" w:rsidRDefault="00B921EA">
      <w:pPr>
        <w:pBdr>
          <w:top w:val="nil"/>
          <w:left w:val="nil"/>
          <w:bottom w:val="nil"/>
          <w:right w:val="nil"/>
          <w:between w:val="nil"/>
        </w:pBdr>
        <w:ind w:left="360"/>
        <w:rPr>
          <w:b/>
          <w:color w:val="000000"/>
        </w:rPr>
      </w:pPr>
    </w:p>
    <w:p w14:paraId="451AEC87" w14:textId="3E765F65" w:rsidR="00B921EA" w:rsidRDefault="00B921EA">
      <w:pPr>
        <w:pBdr>
          <w:top w:val="nil"/>
          <w:left w:val="nil"/>
          <w:bottom w:val="nil"/>
          <w:right w:val="nil"/>
          <w:between w:val="nil"/>
        </w:pBdr>
        <w:ind w:left="360"/>
        <w:rPr>
          <w:b/>
          <w:color w:val="000000"/>
        </w:rPr>
      </w:pPr>
    </w:p>
    <w:p w14:paraId="451AEC88" w14:textId="40978BD0" w:rsidR="00B921EA" w:rsidRDefault="00B921EA">
      <w:pPr>
        <w:pBdr>
          <w:top w:val="nil"/>
          <w:left w:val="nil"/>
          <w:bottom w:val="nil"/>
          <w:right w:val="nil"/>
          <w:between w:val="nil"/>
        </w:pBdr>
        <w:ind w:left="360"/>
        <w:rPr>
          <w:b/>
          <w:color w:val="000000"/>
        </w:rPr>
      </w:pPr>
    </w:p>
    <w:p w14:paraId="451AEC89" w14:textId="433AE868" w:rsidR="00B921EA" w:rsidRDefault="00735616">
      <w:pPr>
        <w:rPr>
          <w:b/>
        </w:rPr>
      </w:pPr>
      <w:r>
        <w:rPr>
          <w:noProof/>
        </w:rPr>
        <mc:AlternateContent>
          <mc:Choice Requires="wps">
            <w:drawing>
              <wp:anchor distT="45720" distB="45720" distL="114300" distR="114300" simplePos="0" relativeHeight="251666432" behindDoc="0" locked="0" layoutInCell="1" hidden="0" allowOverlap="1" wp14:anchorId="760CD0D2" wp14:editId="779F7816">
                <wp:simplePos x="0" y="0"/>
                <wp:positionH relativeFrom="column">
                  <wp:posOffset>3568700</wp:posOffset>
                </wp:positionH>
                <wp:positionV relativeFrom="paragraph">
                  <wp:posOffset>427355</wp:posOffset>
                </wp:positionV>
                <wp:extent cx="2110105" cy="429260"/>
                <wp:effectExtent l="0" t="0" r="4445" b="8890"/>
                <wp:wrapSquare wrapText="bothSides" distT="45720" distB="45720" distL="114300" distR="114300"/>
                <wp:docPr id="969500956" name="Rectangle 969500956"/>
                <wp:cNvGraphicFramePr/>
                <a:graphic xmlns:a="http://schemas.openxmlformats.org/drawingml/2006/main">
                  <a:graphicData uri="http://schemas.microsoft.com/office/word/2010/wordprocessingShape">
                    <wps:wsp>
                      <wps:cNvSpPr/>
                      <wps:spPr>
                        <a:xfrm>
                          <a:off x="0" y="0"/>
                          <a:ext cx="2110105" cy="429260"/>
                        </a:xfrm>
                        <a:prstGeom prst="rect">
                          <a:avLst/>
                        </a:prstGeom>
                        <a:solidFill>
                          <a:srgbClr val="FFFFFF"/>
                        </a:solidFill>
                        <a:ln w="9525" cap="flat" cmpd="sng">
                          <a:noFill/>
                          <a:prstDash val="solid"/>
                          <a:miter lim="800000"/>
                          <a:headEnd type="none" w="sm" len="sm"/>
                          <a:tailEnd type="none" w="sm" len="sm"/>
                        </a:ln>
                      </wps:spPr>
                      <wps:txbx>
                        <w:txbxContent>
                          <w:p w14:paraId="52F10BB9" w14:textId="002062FB" w:rsidR="00735616" w:rsidRDefault="00735616" w:rsidP="00735616">
                            <w:pPr>
                              <w:textDirection w:val="btLr"/>
                            </w:pPr>
                            <w:r>
                              <w:rPr>
                                <w:color w:val="000000"/>
                                <w:sz w:val="22"/>
                              </w:rPr>
                              <w:t xml:space="preserve">Flowers of the </w:t>
                            </w:r>
                            <w:r>
                              <w:rPr>
                                <w:color w:val="000000"/>
                                <w:sz w:val="22"/>
                              </w:rPr>
                              <w:t>small</w:t>
                            </w:r>
                            <w:r>
                              <w:rPr>
                                <w:color w:val="000000"/>
                                <w:sz w:val="22"/>
                              </w:rPr>
                              <w:t xml:space="preserve"> cranberry (</w:t>
                            </w:r>
                            <w:r>
                              <w:rPr>
                                <w:i/>
                                <w:color w:val="000000"/>
                                <w:sz w:val="22"/>
                              </w:rPr>
                              <w:t xml:space="preserve">Vaccinium </w:t>
                            </w:r>
                            <w:proofErr w:type="spellStart"/>
                            <w:r>
                              <w:rPr>
                                <w:i/>
                                <w:color w:val="000000"/>
                                <w:sz w:val="22"/>
                              </w:rPr>
                              <w:t>oxycoccos</w:t>
                            </w:r>
                            <w:proofErr w:type="spellEnd"/>
                            <w:r>
                              <w:rPr>
                                <w:color w:val="000000"/>
                                <w:sz w:val="22"/>
                              </w:rPr>
                              <w:t xml:space="preserve"> </w:t>
                            </w:r>
                            <w:r>
                              <w:rPr>
                                <w:color w:val="000000"/>
                                <w:sz w:val="22"/>
                              </w:rPr>
                              <w:t>L</w:t>
                            </w:r>
                            <w:r>
                              <w:rPr>
                                <w:color w:val="000000"/>
                                <w:sz w:val="22"/>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0CD0D2" id="Rectangle 969500956" o:spid="_x0000_s1026" style="position:absolute;margin-left:281pt;margin-top:33.65pt;width:166.15pt;height:33.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" stroked="f">
                <v:stroke startarrowwidth="narrow" startarrowlength="short" endarrowwidth="narrow" endarrowlength="short"/>
                <v:textbox inset="2.53958mm,1.2694mm,2.53958mm,1.2694mm">
                  <w:txbxContent>
                    <w:p w14:paraId="52F10BB9" w14:textId="002062FB" w:rsidR="00735616" w:rsidRDefault="00735616" w:rsidP="00735616">
                      <w:pPr>
                        <w:textDirection w:val="btLr"/>
                      </w:pPr>
                      <w:r>
                        <w:rPr>
                          <w:color w:val="000000"/>
                          <w:sz w:val="22"/>
                        </w:rPr>
                        <w:t xml:space="preserve">Flowers of the </w:t>
                      </w:r>
                      <w:r>
                        <w:rPr>
                          <w:color w:val="000000"/>
                          <w:sz w:val="22"/>
                        </w:rPr>
                        <w:t>small</w:t>
                      </w:r>
                      <w:r>
                        <w:rPr>
                          <w:color w:val="000000"/>
                          <w:sz w:val="22"/>
                        </w:rPr>
                        <w:t xml:space="preserve"> cranberry (</w:t>
                      </w:r>
                      <w:r>
                        <w:rPr>
                          <w:i/>
                          <w:color w:val="000000"/>
                          <w:sz w:val="22"/>
                        </w:rPr>
                        <w:t xml:space="preserve">Vaccinium </w:t>
                      </w:r>
                      <w:proofErr w:type="spellStart"/>
                      <w:r>
                        <w:rPr>
                          <w:i/>
                          <w:color w:val="000000"/>
                          <w:sz w:val="22"/>
                        </w:rPr>
                        <w:t>oxycoccos</w:t>
                      </w:r>
                      <w:proofErr w:type="spellEnd"/>
                      <w:r>
                        <w:rPr>
                          <w:color w:val="000000"/>
                          <w:sz w:val="22"/>
                        </w:rPr>
                        <w:t xml:space="preserve"> </w:t>
                      </w:r>
                      <w:r>
                        <w:rPr>
                          <w:color w:val="000000"/>
                          <w:sz w:val="22"/>
                        </w:rPr>
                        <w:t>L</w:t>
                      </w:r>
                      <w:r>
                        <w:rPr>
                          <w:color w:val="000000"/>
                          <w:sz w:val="22"/>
                        </w:rPr>
                        <w:t>.)</w:t>
                      </w:r>
                    </w:p>
                  </w:txbxContent>
                </v:textbox>
                <w10:wrap type="square"/>
              </v:rect>
            </w:pict>
          </mc:Fallback>
        </mc:AlternateContent>
      </w:r>
      <w:r>
        <w:rPr>
          <w:noProof/>
        </w:rPr>
        <mc:AlternateContent>
          <mc:Choice Requires="wps">
            <w:drawing>
              <wp:anchor distT="45720" distB="45720" distL="114300" distR="114300" simplePos="0" relativeHeight="251660288" behindDoc="0" locked="0" layoutInCell="1" hidden="0" allowOverlap="1" wp14:anchorId="451AEE8B" wp14:editId="4DC25657">
                <wp:simplePos x="0" y="0"/>
                <wp:positionH relativeFrom="column">
                  <wp:posOffset>182880</wp:posOffset>
                </wp:positionH>
                <wp:positionV relativeFrom="paragraph">
                  <wp:posOffset>427355</wp:posOffset>
                </wp:positionV>
                <wp:extent cx="3195955" cy="429260"/>
                <wp:effectExtent l="0" t="0" r="4445" b="8890"/>
                <wp:wrapSquare wrapText="bothSides" distT="45720" distB="45720" distL="114300" distR="114300"/>
                <wp:docPr id="219" name=""/>
                <wp:cNvGraphicFramePr/>
                <a:graphic xmlns:a="http://schemas.openxmlformats.org/drawingml/2006/main">
                  <a:graphicData uri="http://schemas.microsoft.com/office/word/2010/wordprocessingShape">
                    <wps:wsp>
                      <wps:cNvSpPr/>
                      <wps:spPr>
                        <a:xfrm>
                          <a:off x="0" y="0"/>
                          <a:ext cx="3195955" cy="429260"/>
                        </a:xfrm>
                        <a:prstGeom prst="rect">
                          <a:avLst/>
                        </a:prstGeom>
                        <a:solidFill>
                          <a:srgbClr val="FFFFFF"/>
                        </a:solidFill>
                        <a:ln w="9525" cap="flat" cmpd="sng">
                          <a:noFill/>
                          <a:prstDash val="solid"/>
                          <a:miter lim="800000"/>
                          <a:headEnd type="none" w="sm" len="sm"/>
                          <a:tailEnd type="none" w="sm" len="sm"/>
                        </a:ln>
                      </wps:spPr>
                      <wps:txbx>
                        <w:txbxContent>
                          <w:p w14:paraId="451AEEA0" w14:textId="22DFD5C3" w:rsidR="00B921EA" w:rsidRDefault="00735616">
                            <w:pPr>
                              <w:textDirection w:val="btLr"/>
                            </w:pPr>
                            <w:r>
                              <w:rPr>
                                <w:color w:val="000000"/>
                                <w:sz w:val="22"/>
                              </w:rPr>
                              <w:t>Flowers and developing fruit of th</w:t>
                            </w:r>
                            <w:r w:rsidR="00BE3086">
                              <w:rPr>
                                <w:color w:val="000000"/>
                                <w:sz w:val="22"/>
                              </w:rPr>
                              <w:t>e large cranberry</w:t>
                            </w:r>
                            <w:r>
                              <w:rPr>
                                <w:color w:val="000000"/>
                                <w:sz w:val="22"/>
                              </w:rPr>
                              <w:t xml:space="preserve"> (</w:t>
                            </w:r>
                            <w:r w:rsidR="00BE3086">
                              <w:rPr>
                                <w:i/>
                                <w:color w:val="000000"/>
                                <w:sz w:val="22"/>
                              </w:rPr>
                              <w:t>Vaccinium macrocarpon</w:t>
                            </w:r>
                            <w:r w:rsidR="00BE3086">
                              <w:rPr>
                                <w:color w:val="000000"/>
                                <w:sz w:val="22"/>
                              </w:rPr>
                              <w:t xml:space="preserve"> </w:t>
                            </w:r>
                            <w:proofErr w:type="spellStart"/>
                            <w:r w:rsidR="00BE3086">
                              <w:rPr>
                                <w:color w:val="000000"/>
                                <w:sz w:val="22"/>
                              </w:rPr>
                              <w:t>Aiton</w:t>
                            </w:r>
                            <w:proofErr w:type="spellEnd"/>
                            <w:r>
                              <w:rPr>
                                <w:color w:val="000000"/>
                                <w:sz w:val="22"/>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1AEE8B" id="_x0000_s1027" style="position:absolute;margin-left:14.4pt;margin-top:33.65pt;width:251.65pt;height:33.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" stroked="f">
                <v:stroke startarrowwidth="narrow" startarrowlength="short" endarrowwidth="narrow" endarrowlength="short"/>
                <v:textbox inset="2.53958mm,1.2694mm,2.53958mm,1.2694mm">
                  <w:txbxContent>
                    <w:p w14:paraId="451AEEA0" w14:textId="22DFD5C3" w:rsidR="00B921EA" w:rsidRDefault="00735616">
                      <w:pPr>
                        <w:textDirection w:val="btLr"/>
                      </w:pPr>
                      <w:r>
                        <w:rPr>
                          <w:color w:val="000000"/>
                          <w:sz w:val="22"/>
                        </w:rPr>
                        <w:t>Flowers and developing fruit of th</w:t>
                      </w:r>
                      <w:r w:rsidR="00BE3086">
                        <w:rPr>
                          <w:color w:val="000000"/>
                          <w:sz w:val="22"/>
                        </w:rPr>
                        <w:t>e large cranberry</w:t>
                      </w:r>
                      <w:r>
                        <w:rPr>
                          <w:color w:val="000000"/>
                          <w:sz w:val="22"/>
                        </w:rPr>
                        <w:t xml:space="preserve"> (</w:t>
                      </w:r>
                      <w:r w:rsidR="00BE3086">
                        <w:rPr>
                          <w:i/>
                          <w:color w:val="000000"/>
                          <w:sz w:val="22"/>
                        </w:rPr>
                        <w:t>Vaccinium macrocarpon</w:t>
                      </w:r>
                      <w:r w:rsidR="00BE3086">
                        <w:rPr>
                          <w:color w:val="000000"/>
                          <w:sz w:val="22"/>
                        </w:rPr>
                        <w:t xml:space="preserve"> </w:t>
                      </w:r>
                      <w:proofErr w:type="spellStart"/>
                      <w:r w:rsidR="00BE3086">
                        <w:rPr>
                          <w:color w:val="000000"/>
                          <w:sz w:val="22"/>
                        </w:rPr>
                        <w:t>Aiton</w:t>
                      </w:r>
                      <w:proofErr w:type="spellEnd"/>
                      <w:r>
                        <w:rPr>
                          <w:color w:val="000000"/>
                          <w:sz w:val="22"/>
                        </w:rPr>
                        <w:t>.)</w:t>
                      </w:r>
                    </w:p>
                  </w:txbxContent>
                </v:textbox>
                <w10:wrap type="square"/>
              </v:rect>
            </w:pict>
          </mc:Fallback>
        </mc:AlternateContent>
      </w:r>
      <w:r w:rsidR="00BE3086">
        <w:br w:type="page"/>
      </w:r>
    </w:p>
    <w:p w14:paraId="451AEC8A" w14:textId="77777777" w:rsidR="00B921EA" w:rsidRDefault="00BE3086">
      <w:pPr>
        <w:rPr>
          <w:b/>
        </w:rPr>
      </w:pPr>
      <w:r>
        <w:rPr>
          <w:b/>
        </w:rPr>
        <w:lastRenderedPageBreak/>
        <w:t xml:space="preserve">Executive Summary </w:t>
      </w:r>
    </w:p>
    <w:p w14:paraId="451AEC8B" w14:textId="77777777" w:rsidR="00B921EA" w:rsidRDefault="00BE3086">
      <w:pPr>
        <w:rPr>
          <w:b/>
        </w:rPr>
      </w:pPr>
      <w:r>
        <w:t>The American cranberry (</w:t>
      </w:r>
      <w:r>
        <w:rPr>
          <w:i/>
        </w:rPr>
        <w:t>Vaccinium macrocarpon</w:t>
      </w:r>
      <w:r>
        <w:t xml:space="preserve"> </w:t>
      </w:r>
      <w:proofErr w:type="spellStart"/>
      <w:r>
        <w:t>Aiton</w:t>
      </w:r>
      <w:proofErr w:type="spellEnd"/>
      <w:r>
        <w:t xml:space="preserve">) </w:t>
      </w:r>
      <w:r>
        <w:t>is a major small fruit crop native to North America. The United States is the largest producer of cranberries, with significant production in Canada and Chile. The top producing states are Wisconsin, Massachusetts, New Jersey, Washington, Oregon, and Maine</w:t>
      </w:r>
      <w:r>
        <w:t xml:space="preserve">. In 2022, total U.S. cranberry production was more than 8 million barrels (800 million pounds; 360,000 </w:t>
      </w:r>
      <w:proofErr w:type="spellStart"/>
      <w:r>
        <w:t>tonnes</w:t>
      </w:r>
      <w:proofErr w:type="spellEnd"/>
      <w:r>
        <w:t>) (USDA, NASS). The economic value of fresh and processed cranberry production in the U.S. is $3.55 billion annually and represents &gt; 11,600 jobs.</w:t>
      </w:r>
      <w:r>
        <w:t xml:space="preserve"> In Canada, the value is $411 million and includes &gt; 2,700 jobs.</w:t>
      </w:r>
    </w:p>
    <w:p w14:paraId="451AEC8C" w14:textId="77777777" w:rsidR="00B921EA" w:rsidRDefault="00BE3086">
      <w:pPr>
        <w:rPr>
          <w:b/>
        </w:rPr>
      </w:pPr>
      <w:r>
        <w:tab/>
        <w:t>The primary end products of cranberry have changed over the last 100 years, leading to a change in the desired fruit trait attributes of varieties. Initially high pectin content was a premiu</w:t>
      </w:r>
      <w:r>
        <w:t xml:space="preserve">m attribute for cranberry for sauce, followed by high anthocyanin content for juice drinks. Currently the main product is </w:t>
      </w:r>
      <w:proofErr w:type="spellStart"/>
      <w:r>
        <w:t>sweetend</w:t>
      </w:r>
      <w:proofErr w:type="spellEnd"/>
      <w:r>
        <w:t>-dried-cranberry (SDC) for trail snacks. The fruit attributes for SDCs include homogeneous berry color, a narrow range in colo</w:t>
      </w:r>
      <w:r>
        <w:t xml:space="preserve">r intensity, large fruit size (&gt;2g/berry), and higher fruit firmness. </w:t>
      </w:r>
    </w:p>
    <w:p w14:paraId="451AEC8D" w14:textId="77777777" w:rsidR="00B921EA" w:rsidRDefault="00BE3086">
      <w:pPr>
        <w:ind w:firstLine="720"/>
      </w:pPr>
      <w:r>
        <w:t xml:space="preserve">A cranberry </w:t>
      </w:r>
      <w:proofErr w:type="spellStart"/>
      <w:r>
        <w:t>genebank</w:t>
      </w:r>
      <w:proofErr w:type="spellEnd"/>
      <w:r>
        <w:t xml:space="preserve"> for genetic improvement is available within the U.S. Department of Agriculture (USDA), Agricultural Research Service (ARS), National Clonal Germplasm Repository (NCGR) in Corvallis, Oregon. The NCGR </w:t>
      </w:r>
      <w:proofErr w:type="spellStart"/>
      <w:r>
        <w:t>genebank</w:t>
      </w:r>
      <w:proofErr w:type="spellEnd"/>
      <w:r>
        <w:t xml:space="preserve"> contains 333 cranberry/crop</w:t>
      </w:r>
      <w:r>
        <w:t xml:space="preserve"> wild relatives of cranberry (146 </w:t>
      </w:r>
      <w:r>
        <w:rPr>
          <w:i/>
        </w:rPr>
        <w:t>V. macrocarpon</w:t>
      </w:r>
      <w:r>
        <w:t xml:space="preserve">, 77 </w:t>
      </w:r>
      <w:r>
        <w:rPr>
          <w:i/>
        </w:rPr>
        <w:t xml:space="preserve">V. </w:t>
      </w:r>
      <w:proofErr w:type="spellStart"/>
      <w:r>
        <w:rPr>
          <w:i/>
        </w:rPr>
        <w:t>oxycoccus</w:t>
      </w:r>
      <w:proofErr w:type="spellEnd"/>
      <w:r>
        <w:t xml:space="preserve">, and 110 </w:t>
      </w:r>
      <w:r>
        <w:rPr>
          <w:i/>
        </w:rPr>
        <w:t xml:space="preserve">V. </w:t>
      </w:r>
      <w:proofErr w:type="spellStart"/>
      <w:r>
        <w:rPr>
          <w:i/>
        </w:rPr>
        <w:t>vitis</w:t>
      </w:r>
      <w:proofErr w:type="spellEnd"/>
      <w:r>
        <w:rPr>
          <w:i/>
        </w:rPr>
        <w:t>-</w:t>
      </w:r>
      <w:r>
        <w:t xml:space="preserve"> </w:t>
      </w:r>
      <w:proofErr w:type="spellStart"/>
      <w:r>
        <w:rPr>
          <w:i/>
        </w:rPr>
        <w:t>idaea</w:t>
      </w:r>
      <w:proofErr w:type="spellEnd"/>
      <w:r>
        <w:t>). Wild species diversity is represented by seed lots stored at -18</w:t>
      </w:r>
      <w:r>
        <w:rPr>
          <w:vertAlign w:val="superscript"/>
        </w:rPr>
        <w:t>o</w:t>
      </w:r>
      <w:r>
        <w:t xml:space="preserve"> C. Plants at Corvallis are tested for common viruses, </w:t>
      </w:r>
      <w:proofErr w:type="spellStart"/>
      <w:r>
        <w:t>viroids</w:t>
      </w:r>
      <w:proofErr w:type="spellEnd"/>
      <w:r>
        <w:t>, and phytoplasmas as resources allow but this testing may not completely meet the requirements of some foreign countries. Identity is checked by comparison with written description, review by b</w:t>
      </w:r>
      <w:r>
        <w:t>otanical and horticultural taxonomic experts, and evaluation by molecular markers, such as simple sequence repeat markers. A set of single nucleotide polymorphism (SNP) markers for cultivar identification is under development.</w:t>
      </w:r>
    </w:p>
    <w:p w14:paraId="451AEC8E" w14:textId="77777777" w:rsidR="00B921EA" w:rsidRDefault="00BE3086">
      <w:pPr>
        <w:ind w:firstLine="720"/>
        <w:rPr>
          <w:color w:val="000000"/>
        </w:rPr>
      </w:pPr>
      <w:r>
        <w:t>Landraces and wild accessions</w:t>
      </w:r>
      <w:r>
        <w:t xml:space="preserve"> from unrepresented geographies are being sought to broaden the diversity of the cranberry collection. Specimens are especially needed from northeastern North America including the Eastern US and Northeastern Canadian Maritime Provinces; from the Appalachi</w:t>
      </w:r>
      <w:r>
        <w:t xml:space="preserve">an Mountains; and from the Midwestern states, such as Minnesota, Michigan, and Wisconsin. During the past several decades, </w:t>
      </w:r>
      <w:r>
        <w:rPr>
          <w:i/>
        </w:rPr>
        <w:t xml:space="preserve">in situ </w:t>
      </w:r>
      <w:r>
        <w:t>conservation strategies have been initiated between the USDA and the U.S. Forest Service, as well as state heritage conservat</w:t>
      </w:r>
      <w:r>
        <w:t>ion programs in the Eastern U.S. American crop wild relatives of cranberry are prime candidates for</w:t>
      </w:r>
      <w:r>
        <w:rPr>
          <w:i/>
        </w:rPr>
        <w:t xml:space="preserve"> in situ/ex situ</w:t>
      </w:r>
      <w:r>
        <w:t xml:space="preserve"> conservation collaborations because of species distribution in many National Forests, state parks, and heritage sites from the Mid-western t</w:t>
      </w:r>
      <w:r>
        <w:t xml:space="preserve">o the Eastern U.S. </w:t>
      </w:r>
    </w:p>
    <w:p w14:paraId="451AEC8F" w14:textId="77777777" w:rsidR="00B921EA" w:rsidRDefault="00B921EA"/>
    <w:p w14:paraId="451AEC90" w14:textId="77777777" w:rsidR="00B921EA" w:rsidRDefault="00BE3086">
      <w:pPr>
        <w:numPr>
          <w:ilvl w:val="0"/>
          <w:numId w:val="10"/>
        </w:numPr>
        <w:rPr>
          <w:b/>
        </w:rPr>
      </w:pPr>
      <w:r>
        <w:rPr>
          <w:b/>
        </w:rPr>
        <w:t xml:space="preserve">Introduction to the crop </w:t>
      </w:r>
    </w:p>
    <w:p w14:paraId="451AEC91" w14:textId="77777777" w:rsidR="00B921EA" w:rsidRDefault="00BE3086">
      <w:pPr>
        <w:rPr>
          <w:smallCaps/>
          <w:color w:val="C0504D"/>
          <w:u w:val="single"/>
        </w:rPr>
      </w:pPr>
      <w:r>
        <w:t xml:space="preserve">Cranberry and related wild crop species are classified as members of </w:t>
      </w:r>
      <w:r>
        <w:rPr>
          <w:i/>
        </w:rPr>
        <w:t>Vaccinium</w:t>
      </w:r>
      <w:r>
        <w:t xml:space="preserve"> section </w:t>
      </w:r>
      <w:proofErr w:type="spellStart"/>
      <w:r>
        <w:rPr>
          <w:i/>
        </w:rPr>
        <w:t>Oxycoccus</w:t>
      </w:r>
      <w:proofErr w:type="spellEnd"/>
      <w:r>
        <w:rPr>
          <w:i/>
        </w:rPr>
        <w:t xml:space="preserve"> </w:t>
      </w:r>
      <w:r>
        <w:t>and section</w:t>
      </w:r>
      <w:r>
        <w:rPr>
          <w:i/>
        </w:rPr>
        <w:t xml:space="preserve"> Vitis-idaea</w:t>
      </w:r>
      <w:r>
        <w:t xml:space="preserve">. Section </w:t>
      </w:r>
      <w:proofErr w:type="spellStart"/>
      <w:r>
        <w:rPr>
          <w:i/>
        </w:rPr>
        <w:t>Oxycoccus</w:t>
      </w:r>
      <w:proofErr w:type="spellEnd"/>
      <w:r>
        <w:t xml:space="preserve"> (which means “sour berry”) includes plants that are perennial evergre</w:t>
      </w:r>
      <w:r>
        <w:t xml:space="preserve">en trailing woody vines, while section </w:t>
      </w:r>
      <w:r>
        <w:rPr>
          <w:i/>
        </w:rPr>
        <w:t>Vitis-idaea</w:t>
      </w:r>
      <w:r>
        <w:t xml:space="preserve"> includes lingonberry (or mountain cranberry; </w:t>
      </w:r>
      <w:r>
        <w:rPr>
          <w:i/>
        </w:rPr>
        <w:t>V. vitis-idaea</w:t>
      </w:r>
      <w:r>
        <w:t xml:space="preserve"> L), a circumboreal, evergreen, generally low-growing shrub that has been commercialized in Europe. </w:t>
      </w:r>
    </w:p>
    <w:p w14:paraId="451AEC92" w14:textId="77777777" w:rsidR="00B921EA" w:rsidRDefault="00BE3086">
      <w:pPr>
        <w:ind w:firstLine="720"/>
        <w:rPr>
          <w:b/>
        </w:rPr>
      </w:pPr>
      <w:r>
        <w:t>This statement will primarily focus on sectio</w:t>
      </w:r>
      <w:r>
        <w:t xml:space="preserve">n </w:t>
      </w:r>
      <w:proofErr w:type="spellStart"/>
      <w:r>
        <w:rPr>
          <w:i/>
        </w:rPr>
        <w:t>Oxycoccus</w:t>
      </w:r>
      <w:proofErr w:type="spellEnd"/>
      <w:r>
        <w:t xml:space="preserve">, but will mention section </w:t>
      </w:r>
      <w:r>
        <w:rPr>
          <w:i/>
        </w:rPr>
        <w:t>Vitis-idaea</w:t>
      </w:r>
      <w:r>
        <w:t xml:space="preserve"> species as tertiary crop wild relatives (CWR).</w:t>
      </w:r>
      <w:r>
        <w:rPr>
          <w:b/>
        </w:rPr>
        <w:t xml:space="preserve"> </w:t>
      </w:r>
      <w:r>
        <w:t xml:space="preserve">The cultivated cranberry of commerce is the American cranberry, </w:t>
      </w:r>
      <w:r>
        <w:rPr>
          <w:i/>
        </w:rPr>
        <w:t>Vaccinium macrocarpon</w:t>
      </w:r>
      <w:r>
        <w:t xml:space="preserve"> </w:t>
      </w:r>
      <w:proofErr w:type="spellStart"/>
      <w:r>
        <w:t>Aiton</w:t>
      </w:r>
      <w:proofErr w:type="spellEnd"/>
      <w:r>
        <w:t>, a native eastern North American species adapted to the temperate c</w:t>
      </w:r>
      <w:r>
        <w:t xml:space="preserve">limate. Initially berries were collected from wild stands by native peoples; later, cultivation began with cuttings of elite native vines that were propagated in suitable moist ‘boggy’ soil locations. Genetic improvement was initiated in the 1930’s by </w:t>
      </w:r>
      <w:r>
        <w:lastRenderedPageBreak/>
        <w:t>scie</w:t>
      </w:r>
      <w:r>
        <w:t>ntists at the USDA and New Jersey, Massachusetts, and Wisconsin Agricultural Experiment Stations in response to ‘</w:t>
      </w:r>
      <w:proofErr w:type="gramStart"/>
      <w:r>
        <w:t>false-blossom</w:t>
      </w:r>
      <w:proofErr w:type="gramEnd"/>
      <w:r>
        <w:t>’ phytoplasma disease and production issues (Chandler et al. 1947). What was an exclusive U.S. and Canadian production has now bec</w:t>
      </w:r>
      <w:r>
        <w:t>ome international with Chile, New Zealand, and Eastern Europe producing the cultivated cranberry.</w:t>
      </w:r>
      <w:r>
        <w:rPr>
          <w:b/>
        </w:rPr>
        <w:br/>
      </w:r>
    </w:p>
    <w:p w14:paraId="451AEC93" w14:textId="77777777" w:rsidR="00B921EA" w:rsidRDefault="00BE3086">
      <w:pPr>
        <w:numPr>
          <w:ilvl w:val="1"/>
          <w:numId w:val="10"/>
        </w:numPr>
        <w:pBdr>
          <w:top w:val="nil"/>
          <w:left w:val="nil"/>
          <w:bottom w:val="nil"/>
          <w:right w:val="nil"/>
          <w:between w:val="nil"/>
        </w:pBdr>
        <w:rPr>
          <w:b/>
          <w:color w:val="000000"/>
        </w:rPr>
      </w:pPr>
      <w:r>
        <w:rPr>
          <w:b/>
          <w:color w:val="000000"/>
        </w:rPr>
        <w:t xml:space="preserve">Botanical features and ecogeographical distribution </w:t>
      </w:r>
    </w:p>
    <w:p w14:paraId="451AEC94" w14:textId="77777777" w:rsidR="00B921EA" w:rsidRDefault="00BE3086">
      <w:pPr>
        <w:pBdr>
          <w:top w:val="nil"/>
          <w:left w:val="nil"/>
          <w:bottom w:val="nil"/>
          <w:right w:val="nil"/>
          <w:between w:val="nil"/>
        </w:pBdr>
        <w:rPr>
          <w:i/>
          <w:color w:val="000000"/>
        </w:rPr>
      </w:pPr>
      <w:r>
        <w:rPr>
          <w:color w:val="000000"/>
        </w:rPr>
        <w:t>Cranberry and blueberry are botanically classified in the genus</w:t>
      </w:r>
      <w:r>
        <w:rPr>
          <w:i/>
          <w:color w:val="000000"/>
        </w:rPr>
        <w:t xml:space="preserve"> </w:t>
      </w:r>
      <w:proofErr w:type="spellStart"/>
      <w:r>
        <w:rPr>
          <w:i/>
          <w:color w:val="000000"/>
        </w:rPr>
        <w:t>Vaccinum</w:t>
      </w:r>
      <w:proofErr w:type="spellEnd"/>
      <w:r>
        <w:rPr>
          <w:color w:val="000000"/>
        </w:rPr>
        <w:t xml:space="preserve"> </w:t>
      </w:r>
      <w:proofErr w:type="gramStart"/>
      <w:r>
        <w:rPr>
          <w:color w:val="000000"/>
        </w:rPr>
        <w:t>L.</w:t>
      </w:r>
      <w:proofErr w:type="gramEnd"/>
      <w:r>
        <w:rPr>
          <w:color w:val="000000"/>
        </w:rPr>
        <w:t xml:space="preserve"> which is in the blueberry tribe, </w:t>
      </w:r>
      <w:proofErr w:type="spellStart"/>
      <w:r>
        <w:rPr>
          <w:i/>
          <w:color w:val="000000"/>
        </w:rPr>
        <w:t>Vaccinieae</w:t>
      </w:r>
      <w:proofErr w:type="spellEnd"/>
      <w:r>
        <w:rPr>
          <w:color w:val="000000"/>
        </w:rPr>
        <w:t xml:space="preserve">, of the subfamily </w:t>
      </w:r>
      <w:proofErr w:type="spellStart"/>
      <w:r>
        <w:rPr>
          <w:i/>
          <w:color w:val="000000"/>
        </w:rPr>
        <w:t>Vaccinioideae</w:t>
      </w:r>
      <w:proofErr w:type="spellEnd"/>
      <w:r>
        <w:rPr>
          <w:color w:val="000000"/>
        </w:rPr>
        <w:t xml:space="preserve"> of the </w:t>
      </w:r>
      <w:r>
        <w:rPr>
          <w:i/>
          <w:color w:val="000000"/>
        </w:rPr>
        <w:t>Ericaceae</w:t>
      </w:r>
      <w:r>
        <w:rPr>
          <w:color w:val="000000"/>
        </w:rPr>
        <w:t xml:space="preserve">, the heath family (Stevens, 1969). The </w:t>
      </w:r>
      <w:proofErr w:type="spellStart"/>
      <w:r>
        <w:rPr>
          <w:i/>
          <w:color w:val="000000"/>
        </w:rPr>
        <w:t>Vaccinieae</w:t>
      </w:r>
      <w:proofErr w:type="spellEnd"/>
      <w:r>
        <w:rPr>
          <w:color w:val="000000"/>
        </w:rPr>
        <w:t xml:space="preserve"> includes those </w:t>
      </w:r>
      <w:proofErr w:type="spellStart"/>
      <w:r>
        <w:rPr>
          <w:i/>
          <w:color w:val="000000"/>
        </w:rPr>
        <w:t>Vaccinioideae</w:t>
      </w:r>
      <w:proofErr w:type="spellEnd"/>
      <w:r>
        <w:rPr>
          <w:color w:val="000000"/>
        </w:rPr>
        <w:t xml:space="preserve"> plants that have inferior ovaries and have </w:t>
      </w:r>
      <w:proofErr w:type="gramStart"/>
      <w:r>
        <w:rPr>
          <w:color w:val="000000"/>
        </w:rPr>
        <w:t>more or less fleshy</w:t>
      </w:r>
      <w:proofErr w:type="gramEnd"/>
      <w:r>
        <w:rPr>
          <w:color w:val="000000"/>
        </w:rPr>
        <w:t xml:space="preserve"> fruits.</w:t>
      </w:r>
    </w:p>
    <w:p w14:paraId="451AEC95" w14:textId="77777777" w:rsidR="00B921EA" w:rsidRDefault="00BE3086">
      <w:pPr>
        <w:pBdr>
          <w:top w:val="nil"/>
          <w:left w:val="nil"/>
          <w:bottom w:val="nil"/>
          <w:right w:val="nil"/>
          <w:between w:val="nil"/>
        </w:pBdr>
        <w:ind w:firstLine="720"/>
        <w:rPr>
          <w:color w:val="000000"/>
        </w:rPr>
      </w:pPr>
      <w:r>
        <w:rPr>
          <w:i/>
          <w:color w:val="000000"/>
        </w:rPr>
        <w:t>Vaccinium</w:t>
      </w:r>
      <w:r>
        <w:rPr>
          <w:color w:val="000000"/>
        </w:rPr>
        <w:t xml:space="preserve"> is polyphyletic as determined by DNA sequence data of the </w:t>
      </w:r>
      <w:proofErr w:type="spellStart"/>
      <w:r>
        <w:rPr>
          <w:color w:val="000000"/>
        </w:rPr>
        <w:t>matK</w:t>
      </w:r>
      <w:proofErr w:type="spellEnd"/>
      <w:r>
        <w:rPr>
          <w:color w:val="000000"/>
        </w:rPr>
        <w:t xml:space="preserve"> gene and nuclear ribosomal </w:t>
      </w:r>
      <w:r>
        <w:t>internal</w:t>
      </w:r>
      <w:r>
        <w:rPr>
          <w:color w:val="000000"/>
        </w:rPr>
        <w:t xml:space="preserve"> transcribed spacer (Kron et al, 2002). Thus, a global taxonomic reassessment of the definition of the genus is needed (Vander </w:t>
      </w:r>
      <w:proofErr w:type="spellStart"/>
      <w:r>
        <w:rPr>
          <w:color w:val="000000"/>
        </w:rPr>
        <w:t>Kloet</w:t>
      </w:r>
      <w:proofErr w:type="spellEnd"/>
      <w:r>
        <w:rPr>
          <w:color w:val="000000"/>
        </w:rPr>
        <w:t xml:space="preserve"> and Avery, 2010). Given </w:t>
      </w:r>
      <w:r>
        <w:rPr>
          <w:color w:val="000000"/>
        </w:rPr>
        <w:t xml:space="preserve">that the taxonomy is controversial, this genus, as presently described, contains more than 400 species of vines, epiphytes, </w:t>
      </w:r>
      <w:proofErr w:type="gramStart"/>
      <w:r>
        <w:rPr>
          <w:color w:val="000000"/>
        </w:rPr>
        <w:t>shrubs</w:t>
      </w:r>
      <w:proofErr w:type="gramEnd"/>
      <w:r>
        <w:rPr>
          <w:color w:val="000000"/>
        </w:rPr>
        <w:t xml:space="preserve"> or small trees (</w:t>
      </w:r>
      <w:proofErr w:type="spellStart"/>
      <w:r>
        <w:rPr>
          <w:color w:val="000000"/>
        </w:rPr>
        <w:t>Galletta</w:t>
      </w:r>
      <w:proofErr w:type="spellEnd"/>
      <w:r>
        <w:rPr>
          <w:color w:val="000000"/>
        </w:rPr>
        <w:t xml:space="preserve"> and </w:t>
      </w:r>
      <w:proofErr w:type="spellStart"/>
      <w:r>
        <w:rPr>
          <w:color w:val="000000"/>
        </w:rPr>
        <w:t>Ballington</w:t>
      </w:r>
      <w:proofErr w:type="spellEnd"/>
      <w:r>
        <w:rPr>
          <w:color w:val="000000"/>
        </w:rPr>
        <w:t>, 1996). Most of the described species occur in Malaysia, Southeast Asia, Japan, Afric</w:t>
      </w:r>
      <w:r>
        <w:rPr>
          <w:color w:val="000000"/>
        </w:rPr>
        <w:t xml:space="preserve">a, Europe, and South America (Vander </w:t>
      </w:r>
      <w:proofErr w:type="spellStart"/>
      <w:r>
        <w:rPr>
          <w:color w:val="000000"/>
        </w:rPr>
        <w:t>Kloet</w:t>
      </w:r>
      <w:proofErr w:type="spellEnd"/>
      <w:r>
        <w:rPr>
          <w:color w:val="000000"/>
        </w:rPr>
        <w:t xml:space="preserve">, 1988), though about 30 species occur in North America. A number of the North American species have highly palatable </w:t>
      </w:r>
      <w:proofErr w:type="gramStart"/>
      <w:r>
        <w:rPr>
          <w:color w:val="000000"/>
        </w:rPr>
        <w:t>fruit</w:t>
      </w:r>
      <w:proofErr w:type="gramEnd"/>
      <w:r>
        <w:rPr>
          <w:color w:val="000000"/>
        </w:rPr>
        <w:t xml:space="preserve"> and several have been domesticated as commercial crops.</w:t>
      </w:r>
    </w:p>
    <w:p w14:paraId="451AEC96" w14:textId="77777777" w:rsidR="00B921EA" w:rsidRDefault="00BE3086">
      <w:pPr>
        <w:pBdr>
          <w:top w:val="nil"/>
          <w:left w:val="nil"/>
          <w:bottom w:val="nil"/>
          <w:right w:val="nil"/>
          <w:between w:val="nil"/>
        </w:pBdr>
        <w:ind w:firstLine="720"/>
        <w:rPr>
          <w:b/>
        </w:rPr>
      </w:pPr>
      <w:r>
        <w:rPr>
          <w:color w:val="000000"/>
        </w:rPr>
        <w:t xml:space="preserve">Vander </w:t>
      </w:r>
      <w:proofErr w:type="spellStart"/>
      <w:r>
        <w:rPr>
          <w:color w:val="000000"/>
        </w:rPr>
        <w:t>Kloet</w:t>
      </w:r>
      <w:proofErr w:type="spellEnd"/>
      <w:r>
        <w:rPr>
          <w:color w:val="000000"/>
        </w:rPr>
        <w:t xml:space="preserve"> (1988) described 10 N</w:t>
      </w:r>
      <w:r>
        <w:rPr>
          <w:color w:val="000000"/>
        </w:rPr>
        <w:t xml:space="preserve">orth American sections within this genus. Character traits for blueberry and its closer relatives include 5-merous flowers, a generally fused urceolate corolla, and 5-celled (or pseudo10-celled) ovaries. [For more information on blueberry, please see the </w:t>
      </w:r>
      <w:r>
        <w:rPr>
          <w:i/>
          <w:color w:val="000000"/>
        </w:rPr>
        <w:t>V</w:t>
      </w:r>
      <w:r>
        <w:rPr>
          <w:i/>
          <w:color w:val="000000"/>
        </w:rPr>
        <w:t>accinium</w:t>
      </w:r>
      <w:r>
        <w:rPr>
          <w:color w:val="000000"/>
        </w:rPr>
        <w:t xml:space="preserve"> Vulnerability Statement, Part 1.] However, </w:t>
      </w:r>
      <w:proofErr w:type="gramStart"/>
      <w:r>
        <w:t>cranberry</w:t>
      </w:r>
      <w:proofErr w:type="gramEnd"/>
      <w:r>
        <w:t xml:space="preserve"> and related wild species </w:t>
      </w:r>
      <w:r>
        <w:rPr>
          <w:color w:val="000000"/>
        </w:rPr>
        <w:t xml:space="preserve">of these North American </w:t>
      </w:r>
      <w:r>
        <w:rPr>
          <w:i/>
          <w:color w:val="000000"/>
        </w:rPr>
        <w:t>Vaccinium</w:t>
      </w:r>
      <w:r>
        <w:rPr>
          <w:color w:val="000000"/>
        </w:rPr>
        <w:t xml:space="preserve"> have 4-merous flowers with 4-loculed ovaries</w:t>
      </w:r>
      <w:r>
        <w:t>.</w:t>
      </w:r>
      <w:r>
        <w:rPr>
          <w:b/>
        </w:rPr>
        <w:br/>
      </w:r>
    </w:p>
    <w:p w14:paraId="451AEC97" w14:textId="77777777" w:rsidR="00B921EA" w:rsidRDefault="00BE3086">
      <w:pPr>
        <w:numPr>
          <w:ilvl w:val="2"/>
          <w:numId w:val="10"/>
        </w:numPr>
        <w:pBdr>
          <w:top w:val="nil"/>
          <w:left w:val="nil"/>
          <w:bottom w:val="nil"/>
          <w:right w:val="nil"/>
          <w:between w:val="nil"/>
        </w:pBdr>
        <w:rPr>
          <w:b/>
          <w:color w:val="000000"/>
        </w:rPr>
      </w:pPr>
      <w:r>
        <w:rPr>
          <w:b/>
          <w:color w:val="000000"/>
        </w:rPr>
        <w:t xml:space="preserve">Section </w:t>
      </w:r>
      <w:proofErr w:type="spellStart"/>
      <w:r>
        <w:rPr>
          <w:b/>
          <w:i/>
          <w:color w:val="000000"/>
        </w:rPr>
        <w:t>Oxycoccus</w:t>
      </w:r>
      <w:proofErr w:type="spellEnd"/>
    </w:p>
    <w:p w14:paraId="451AEC98" w14:textId="77777777" w:rsidR="00B921EA" w:rsidRDefault="00BE3086">
      <w:pPr>
        <w:pBdr>
          <w:top w:val="nil"/>
          <w:left w:val="nil"/>
          <w:bottom w:val="nil"/>
          <w:right w:val="nil"/>
          <w:between w:val="nil"/>
        </w:pBdr>
        <w:rPr>
          <w:color w:val="000000"/>
        </w:rPr>
      </w:pPr>
      <w:r>
        <w:t xml:space="preserve">Section </w:t>
      </w:r>
      <w:proofErr w:type="spellStart"/>
      <w:r>
        <w:rPr>
          <w:i/>
        </w:rPr>
        <w:t>Oxycoccus</w:t>
      </w:r>
      <w:proofErr w:type="spellEnd"/>
      <w:r>
        <w:t xml:space="preserve"> contains the species </w:t>
      </w:r>
      <w:r>
        <w:rPr>
          <w:i/>
        </w:rPr>
        <w:t>V. macrocarpon</w:t>
      </w:r>
      <w:r>
        <w:t xml:space="preserve"> and </w:t>
      </w:r>
      <w:r>
        <w:rPr>
          <w:i/>
        </w:rPr>
        <w:t xml:space="preserve">V. </w:t>
      </w:r>
      <w:proofErr w:type="spellStart"/>
      <w:r>
        <w:rPr>
          <w:i/>
        </w:rPr>
        <w:t>oxycoccos</w:t>
      </w:r>
      <w:proofErr w:type="spellEnd"/>
      <w:r>
        <w:t xml:space="preserve"> L. (the small cranberry). The </w:t>
      </w:r>
      <w:r>
        <w:rPr>
          <w:color w:val="000000"/>
        </w:rPr>
        <w:t xml:space="preserve">American cranberry is endemic to northeastern US and </w:t>
      </w:r>
      <w:r>
        <w:t>southeastern</w:t>
      </w:r>
      <w:r>
        <w:rPr>
          <w:color w:val="000000"/>
        </w:rPr>
        <w:t xml:space="preserve"> Canada, while the small cranberry is circumpolar boreal in distribution and occurs broadly across northern North America (Fig. 1.1). </w:t>
      </w:r>
    </w:p>
    <w:p w14:paraId="451AEC99" w14:textId="77777777" w:rsidR="00B921EA" w:rsidRDefault="00B921EA">
      <w:pPr>
        <w:pBdr>
          <w:top w:val="nil"/>
          <w:left w:val="nil"/>
          <w:bottom w:val="nil"/>
          <w:right w:val="nil"/>
          <w:between w:val="nil"/>
        </w:pBdr>
        <w:ind w:firstLine="720"/>
        <w:rPr>
          <w:color w:val="000000"/>
        </w:rPr>
      </w:pPr>
    </w:p>
    <w:p w14:paraId="451AEC9A" w14:textId="77777777" w:rsidR="00B921EA" w:rsidRDefault="00BE3086">
      <w:pPr>
        <w:jc w:val="center"/>
      </w:pPr>
      <w:r>
        <w:rPr>
          <w:noProof/>
        </w:rPr>
        <w:lastRenderedPageBreak/>
        <w:drawing>
          <wp:inline distT="0" distB="0" distL="0" distR="0" wp14:anchorId="451AEE93" wp14:editId="451AEE94">
            <wp:extent cx="2463800" cy="3495675"/>
            <wp:effectExtent l="0" t="0" r="0" b="0"/>
            <wp:docPr id="224" name="image7.png" descr="C:\Users\kim.hummer\Documents\publications.2018\20170807092126936_0001.oxycoccus.distribution.tif"/>
            <wp:cNvGraphicFramePr/>
            <a:graphic xmlns:a="http://schemas.openxmlformats.org/drawingml/2006/main">
              <a:graphicData uri="http://schemas.openxmlformats.org/drawingml/2006/picture">
                <pic:pic xmlns:pic="http://schemas.openxmlformats.org/drawingml/2006/picture">
                  <pic:nvPicPr>
                    <pic:cNvPr id="0" name="image7.png" descr="C:\Users\kim.hummer\Documents\publications.2018\20170807092126936_0001.oxycoccus.distribution.tif"/>
                    <pic:cNvPicPr preferRelativeResize="0"/>
                  </pic:nvPicPr>
                  <pic:blipFill>
                    <a:blip r:embed="rId10"/>
                    <a:srcRect l="41063" t="7638" r="6168" b="34366"/>
                    <a:stretch>
                      <a:fillRect/>
                    </a:stretch>
                  </pic:blipFill>
                  <pic:spPr>
                    <a:xfrm>
                      <a:off x="0" y="0"/>
                      <a:ext cx="2463800" cy="3495675"/>
                    </a:xfrm>
                    <a:prstGeom prst="rect">
                      <a:avLst/>
                    </a:prstGeom>
                    <a:ln/>
                  </pic:spPr>
                </pic:pic>
              </a:graphicData>
            </a:graphic>
          </wp:inline>
        </w:drawing>
      </w:r>
      <w:r>
        <w:t xml:space="preserve"> </w:t>
      </w:r>
      <w:r>
        <w:rPr>
          <w:b/>
          <w:noProof/>
        </w:rPr>
        <w:drawing>
          <wp:inline distT="0" distB="0" distL="0" distR="0" wp14:anchorId="451AEE95" wp14:editId="451AEE96">
            <wp:extent cx="2498090" cy="3557905"/>
            <wp:effectExtent l="0" t="0" r="0" b="0"/>
            <wp:docPr id="226" name="image6.png" descr="C:\Users\kim.hummer\Documents\publications.2018\20170807091141821_0001.macrocarpon.distribution.tif"/>
            <wp:cNvGraphicFramePr/>
            <a:graphic xmlns:a="http://schemas.openxmlformats.org/drawingml/2006/main">
              <a:graphicData uri="http://schemas.openxmlformats.org/drawingml/2006/picture">
                <pic:pic xmlns:pic="http://schemas.openxmlformats.org/drawingml/2006/picture">
                  <pic:nvPicPr>
                    <pic:cNvPr id="0" name="image6.png" descr="C:\Users\kim.hummer\Documents\publications.2018\20170807091141821_0001.macrocarpon.distribution.tif"/>
                    <pic:cNvPicPr preferRelativeResize="0"/>
                  </pic:nvPicPr>
                  <pic:blipFill>
                    <a:blip r:embed="rId11"/>
                    <a:srcRect l="1840" t="23666" r="44305" b="16910"/>
                    <a:stretch>
                      <a:fillRect/>
                    </a:stretch>
                  </pic:blipFill>
                  <pic:spPr>
                    <a:xfrm>
                      <a:off x="0" y="0"/>
                      <a:ext cx="2498090" cy="3557905"/>
                    </a:xfrm>
                    <a:prstGeom prst="rect">
                      <a:avLst/>
                    </a:prstGeom>
                    <a:ln/>
                  </pic:spPr>
                </pic:pic>
              </a:graphicData>
            </a:graphic>
          </wp:inline>
        </w:drawing>
      </w:r>
    </w:p>
    <w:p w14:paraId="451AEC9B" w14:textId="77777777" w:rsidR="00B921EA" w:rsidRDefault="00BE3086">
      <w:r>
        <w:rPr>
          <w:b/>
        </w:rPr>
        <w:t>Figure 1</w:t>
      </w:r>
      <w:r>
        <w:rPr>
          <w:b/>
        </w:rPr>
        <w:t xml:space="preserve">.1. </w:t>
      </w:r>
      <w:r>
        <w:t xml:space="preserve">Distribution of </w:t>
      </w:r>
      <w:r>
        <w:rPr>
          <w:i/>
        </w:rPr>
        <w:t xml:space="preserve">Vaccinium </w:t>
      </w:r>
      <w:proofErr w:type="spellStart"/>
      <w:r>
        <w:rPr>
          <w:i/>
        </w:rPr>
        <w:t>oxycoccos</w:t>
      </w:r>
      <w:proofErr w:type="spellEnd"/>
      <w:r>
        <w:t xml:space="preserve"> L. (left) and </w:t>
      </w:r>
      <w:r>
        <w:rPr>
          <w:i/>
        </w:rPr>
        <w:t>Vaccinium</w:t>
      </w:r>
      <w:r>
        <w:t xml:space="preserve"> </w:t>
      </w:r>
      <w:r>
        <w:rPr>
          <w:i/>
        </w:rPr>
        <w:t>macrocarpon</w:t>
      </w:r>
      <w:r>
        <w:t xml:space="preserve"> </w:t>
      </w:r>
      <w:proofErr w:type="spellStart"/>
      <w:r>
        <w:t>Aiton</w:t>
      </w:r>
      <w:proofErr w:type="spellEnd"/>
      <w:r>
        <w:t xml:space="preserve"> (right) from Vander </w:t>
      </w:r>
      <w:proofErr w:type="spellStart"/>
      <w:r>
        <w:t>Kloet</w:t>
      </w:r>
      <w:proofErr w:type="spellEnd"/>
      <w:r>
        <w:t xml:space="preserve"> (1988)</w:t>
      </w:r>
      <w:r>
        <w:rPr>
          <w:sz w:val="23"/>
          <w:szCs w:val="23"/>
        </w:rPr>
        <w:t>.</w:t>
      </w:r>
    </w:p>
    <w:p w14:paraId="451AEC9C" w14:textId="77777777" w:rsidR="00B921EA" w:rsidRDefault="00B921EA">
      <w:pPr>
        <w:pBdr>
          <w:top w:val="nil"/>
          <w:left w:val="nil"/>
          <w:bottom w:val="nil"/>
          <w:right w:val="nil"/>
          <w:between w:val="nil"/>
        </w:pBdr>
        <w:rPr>
          <w:color w:val="000000"/>
        </w:rPr>
      </w:pPr>
    </w:p>
    <w:p w14:paraId="451AEC9D" w14:textId="77777777" w:rsidR="00B921EA" w:rsidRDefault="00BE30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i/>
        </w:rPr>
        <w:tab/>
        <w:t>V. macrocarpon</w:t>
      </w:r>
      <w:r>
        <w:t xml:space="preserve"> is diploid 2</w:t>
      </w:r>
      <w:r>
        <w:rPr>
          <w:i/>
        </w:rPr>
        <w:t>n</w:t>
      </w:r>
      <w:r>
        <w:t xml:space="preserve"> = 2</w:t>
      </w:r>
      <w:r>
        <w:rPr>
          <w:i/>
        </w:rPr>
        <w:t>x</w:t>
      </w:r>
      <w:r>
        <w:t xml:space="preserve"> = 24 and </w:t>
      </w:r>
      <w:r>
        <w:rPr>
          <w:i/>
        </w:rPr>
        <w:t xml:space="preserve">V. </w:t>
      </w:r>
      <w:proofErr w:type="spellStart"/>
      <w:r>
        <w:rPr>
          <w:i/>
        </w:rPr>
        <w:t>oxycoccus</w:t>
      </w:r>
      <w:proofErr w:type="spellEnd"/>
      <w:r>
        <w:t xml:space="preserve"> members include diploids (2</w:t>
      </w:r>
      <w:r>
        <w:rPr>
          <w:i/>
        </w:rPr>
        <w:t>n</w:t>
      </w:r>
      <w:r>
        <w:t xml:space="preserve"> = 2</w:t>
      </w:r>
      <w:r>
        <w:rPr>
          <w:i/>
        </w:rPr>
        <w:t>x</w:t>
      </w:r>
      <w:r>
        <w:t xml:space="preserve"> = 24), tetraploids (2</w:t>
      </w:r>
      <w:r>
        <w:rPr>
          <w:i/>
        </w:rPr>
        <w:t>n</w:t>
      </w:r>
      <w:r>
        <w:t xml:space="preserve"> = 4</w:t>
      </w:r>
      <w:r>
        <w:rPr>
          <w:i/>
        </w:rPr>
        <w:t xml:space="preserve">x = </w:t>
      </w:r>
      <w:r>
        <w:t xml:space="preserve">48), and </w:t>
      </w:r>
      <w:proofErr w:type="spellStart"/>
      <w:r>
        <w:t>hexaploid</w:t>
      </w:r>
      <w:r>
        <w:t>s</w:t>
      </w:r>
      <w:proofErr w:type="spellEnd"/>
      <w:r>
        <w:t xml:space="preserve"> (2</w:t>
      </w:r>
      <w:r>
        <w:rPr>
          <w:i/>
        </w:rPr>
        <w:t>n</w:t>
      </w:r>
      <w:r>
        <w:t xml:space="preserve"> = 6</w:t>
      </w:r>
      <w:r>
        <w:rPr>
          <w:i/>
        </w:rPr>
        <w:t>x</w:t>
      </w:r>
      <w:r>
        <w:t xml:space="preserve"> = 72) (Hummer et al. 2015). Diploid </w:t>
      </w:r>
      <w:r>
        <w:rPr>
          <w:i/>
        </w:rPr>
        <w:t xml:space="preserve">V. </w:t>
      </w:r>
      <w:proofErr w:type="spellStart"/>
      <w:r>
        <w:rPr>
          <w:i/>
        </w:rPr>
        <w:t>oxycoccos</w:t>
      </w:r>
      <w:proofErr w:type="spellEnd"/>
      <w:r>
        <w:t xml:space="preserve"> and </w:t>
      </w:r>
      <w:r>
        <w:rPr>
          <w:i/>
        </w:rPr>
        <w:t>V. macrocarpon</w:t>
      </w:r>
      <w:r>
        <w:t xml:space="preserve"> are readily discriminated based on their allozymic variation and tetraploid </w:t>
      </w:r>
      <w:r>
        <w:rPr>
          <w:i/>
        </w:rPr>
        <w:t xml:space="preserve">V. </w:t>
      </w:r>
      <w:proofErr w:type="spellStart"/>
      <w:r>
        <w:rPr>
          <w:i/>
        </w:rPr>
        <w:t>oxycoccos</w:t>
      </w:r>
      <w:proofErr w:type="spellEnd"/>
      <w:r>
        <w:t xml:space="preserve"> appears to have an autopolyploid origin (</w:t>
      </w:r>
      <w:proofErr w:type="spellStart"/>
      <w:r>
        <w:t>Mahy</w:t>
      </w:r>
      <w:proofErr w:type="spellEnd"/>
      <w:r>
        <w:t xml:space="preserve"> et al. 2000). Autotetraploid </w:t>
      </w:r>
      <w:r>
        <w:rPr>
          <w:i/>
        </w:rPr>
        <w:t xml:space="preserve">V. </w:t>
      </w:r>
      <w:proofErr w:type="spellStart"/>
      <w:r>
        <w:rPr>
          <w:i/>
        </w:rPr>
        <w:t>oxycoccos</w:t>
      </w:r>
      <w:proofErr w:type="spellEnd"/>
      <w:r>
        <w:t xml:space="preserve"> </w:t>
      </w:r>
      <w:r>
        <w:t xml:space="preserve">may have undergone hybridization with </w:t>
      </w:r>
      <w:r>
        <w:rPr>
          <w:i/>
        </w:rPr>
        <w:t>V. macrocarpon</w:t>
      </w:r>
      <w:r>
        <w:t xml:space="preserve"> or the autotetraploid retained the genetic variation present in an ancestral diploid species (</w:t>
      </w:r>
      <w:proofErr w:type="spellStart"/>
      <w:r>
        <w:t>Mahy</w:t>
      </w:r>
      <w:proofErr w:type="spellEnd"/>
      <w:r>
        <w:t xml:space="preserve"> et al. 2000). It has been suggested that </w:t>
      </w:r>
      <w:r>
        <w:rPr>
          <w:i/>
        </w:rPr>
        <w:t>V. macrocarpon</w:t>
      </w:r>
      <w:r>
        <w:t xml:space="preserve"> is the more primitive species (Camp, 1944; Vande</w:t>
      </w:r>
      <w:r>
        <w:t xml:space="preserve">r </w:t>
      </w:r>
      <w:proofErr w:type="spellStart"/>
      <w:r>
        <w:t>Kloet</w:t>
      </w:r>
      <w:proofErr w:type="spellEnd"/>
      <w:r>
        <w:t xml:space="preserve">, 1988), however, the richer diversity of tetraploid </w:t>
      </w:r>
      <w:r>
        <w:rPr>
          <w:i/>
        </w:rPr>
        <w:t xml:space="preserve">V. </w:t>
      </w:r>
      <w:proofErr w:type="spellStart"/>
      <w:r>
        <w:rPr>
          <w:i/>
        </w:rPr>
        <w:t>oxycoccos</w:t>
      </w:r>
      <w:proofErr w:type="spellEnd"/>
      <w:r>
        <w:t xml:space="preserve"> suggests that an ancestral diploid species may be extinct. Intermittent co-migrations of these species following the onset of Pleistocene glaciation, and the occurrence of unreduced g</w:t>
      </w:r>
      <w:r>
        <w:t xml:space="preserve">ametes in complex with parental isolation have been suggested as an evolutionary mechanism for the development of this ploidy series (Vander </w:t>
      </w:r>
      <w:proofErr w:type="spellStart"/>
      <w:r>
        <w:t>Kloet</w:t>
      </w:r>
      <w:proofErr w:type="spellEnd"/>
      <w:r>
        <w:t xml:space="preserve">, 1988). </w:t>
      </w:r>
    </w:p>
    <w:p w14:paraId="451AEC9E" w14:textId="77777777" w:rsidR="00B921EA" w:rsidRDefault="00BE30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ab/>
        <w:t xml:space="preserve">The American cranberry is a trailing, low-growing, woody, evergreen vine. </w:t>
      </w:r>
      <w:proofErr w:type="spellStart"/>
      <w:r>
        <w:t>Stolons</w:t>
      </w:r>
      <w:proofErr w:type="spellEnd"/>
      <w:r>
        <w:t>, referred to coll</w:t>
      </w:r>
      <w:r>
        <w:t xml:space="preserve">oquially as “runners,” colonize the cranberry bed surface during early establishment. Over time these </w:t>
      </w:r>
      <w:proofErr w:type="spellStart"/>
      <w:r>
        <w:t>stolons</w:t>
      </w:r>
      <w:proofErr w:type="spellEnd"/>
      <w:r>
        <w:t>, juvenile stems, form a dense mat to cover the bog surface, followed by production of a high density fruiting vertical shoots, referred to colloqu</w:t>
      </w:r>
      <w:r>
        <w:t xml:space="preserve">ially as “uprights.” Commercial plantings of this long-lived perennial can remain relatively productive for decades. Leaves normally remain on the plant for two seasons before they abscise. Leaves on subsequent shoots and </w:t>
      </w:r>
      <w:proofErr w:type="spellStart"/>
      <w:r>
        <w:t>stolons</w:t>
      </w:r>
      <w:proofErr w:type="spellEnd"/>
      <w:r>
        <w:t xml:space="preserve"> arising from one year-old </w:t>
      </w:r>
      <w:r>
        <w:t>wood provide the photosynthetic source.</w:t>
      </w:r>
    </w:p>
    <w:p w14:paraId="451AEC9F" w14:textId="77777777" w:rsidR="00B921EA" w:rsidRDefault="00B921EA">
      <w:pPr>
        <w:pBdr>
          <w:top w:val="nil"/>
          <w:left w:val="nil"/>
          <w:bottom w:val="nil"/>
          <w:right w:val="nil"/>
          <w:between w:val="nil"/>
        </w:pBdr>
        <w:ind w:firstLine="720"/>
        <w:rPr>
          <w:color w:val="000000"/>
        </w:rPr>
      </w:pPr>
    </w:p>
    <w:p w14:paraId="451AECA0" w14:textId="77777777" w:rsidR="00B921EA" w:rsidRDefault="00B921EA">
      <w:pPr>
        <w:pBdr>
          <w:top w:val="nil"/>
          <w:left w:val="nil"/>
          <w:bottom w:val="nil"/>
          <w:right w:val="nil"/>
          <w:between w:val="nil"/>
        </w:pBdr>
        <w:ind w:firstLine="720"/>
      </w:pPr>
    </w:p>
    <w:p w14:paraId="451AECA1" w14:textId="77777777" w:rsidR="00B921EA" w:rsidRDefault="00BE3086">
      <w:pPr>
        <w:numPr>
          <w:ilvl w:val="2"/>
          <w:numId w:val="10"/>
        </w:numPr>
        <w:pBdr>
          <w:top w:val="nil"/>
          <w:left w:val="nil"/>
          <w:bottom w:val="nil"/>
          <w:right w:val="nil"/>
          <w:between w:val="nil"/>
        </w:pBdr>
        <w:rPr>
          <w:b/>
          <w:color w:val="000000"/>
        </w:rPr>
      </w:pPr>
      <w:r>
        <w:rPr>
          <w:b/>
          <w:color w:val="000000"/>
        </w:rPr>
        <w:t xml:space="preserve">Section </w:t>
      </w:r>
      <w:r>
        <w:rPr>
          <w:b/>
          <w:i/>
          <w:color w:val="000000"/>
        </w:rPr>
        <w:t>Vitis-idaea</w:t>
      </w:r>
    </w:p>
    <w:p w14:paraId="451AECA2" w14:textId="77777777" w:rsidR="00B921EA" w:rsidRDefault="00BE3086">
      <w:pPr>
        <w:pBdr>
          <w:top w:val="nil"/>
          <w:left w:val="nil"/>
          <w:bottom w:val="nil"/>
          <w:right w:val="nil"/>
          <w:between w:val="nil"/>
        </w:pBdr>
        <w:rPr>
          <w:color w:val="000000"/>
        </w:rPr>
      </w:pPr>
      <w:r>
        <w:rPr>
          <w:color w:val="000000"/>
        </w:rPr>
        <w:lastRenderedPageBreak/>
        <w:t xml:space="preserve">The mountain cranberry, </w:t>
      </w:r>
      <w:r>
        <w:rPr>
          <w:i/>
          <w:color w:val="000000"/>
        </w:rPr>
        <w:t xml:space="preserve">Vaccinium </w:t>
      </w:r>
      <w:proofErr w:type="spellStart"/>
      <w:r>
        <w:rPr>
          <w:i/>
          <w:color w:val="000000"/>
        </w:rPr>
        <w:t>vitis-idaeus</w:t>
      </w:r>
      <w:proofErr w:type="spellEnd"/>
      <w:r>
        <w:rPr>
          <w:color w:val="000000"/>
        </w:rPr>
        <w:t xml:space="preserve"> L. is also known as “lingonberry.” The mountain cranberry is circumpolar boreal in distribution and occurs broadly across North America (Fig. 1.2). The mountain cranberry has campanulate corollas with four small lobes. It is gathered from wild stands thro</w:t>
      </w:r>
      <w:r>
        <w:rPr>
          <w:color w:val="000000"/>
        </w:rPr>
        <w:t xml:space="preserve">ughout </w:t>
      </w:r>
      <w:proofErr w:type="spellStart"/>
      <w:r>
        <w:rPr>
          <w:color w:val="000000"/>
        </w:rPr>
        <w:t>Scandanavia</w:t>
      </w:r>
      <w:proofErr w:type="spellEnd"/>
      <w:r>
        <w:rPr>
          <w:color w:val="000000"/>
        </w:rPr>
        <w:t>, Europe and Russia, and is used commercially for processing into jams and jellies.</w:t>
      </w:r>
      <w:r>
        <w:t xml:space="preserve"> </w:t>
      </w:r>
    </w:p>
    <w:p w14:paraId="451AECA3" w14:textId="77777777" w:rsidR="00B921EA" w:rsidRDefault="00B921EA">
      <w:pPr>
        <w:pBdr>
          <w:top w:val="nil"/>
          <w:left w:val="nil"/>
          <w:bottom w:val="nil"/>
          <w:right w:val="nil"/>
          <w:between w:val="nil"/>
        </w:pBdr>
        <w:rPr>
          <w:b/>
          <w:color w:val="000000"/>
        </w:rPr>
      </w:pPr>
    </w:p>
    <w:p w14:paraId="451AECA4" w14:textId="77777777" w:rsidR="00B921EA" w:rsidRDefault="00BE3086">
      <w:pPr>
        <w:jc w:val="center"/>
        <w:rPr>
          <w:b/>
        </w:rPr>
      </w:pPr>
      <w:r>
        <w:rPr>
          <w:b/>
          <w:noProof/>
        </w:rPr>
        <w:drawing>
          <wp:inline distT="0" distB="0" distL="0" distR="0" wp14:anchorId="451AEE97" wp14:editId="451AEE98">
            <wp:extent cx="2223029" cy="3108826"/>
            <wp:effectExtent l="0" t="0" r="0" b="0"/>
            <wp:docPr id="2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41168" t="8552" r="6361" b="34613"/>
                    <a:stretch>
                      <a:fillRect/>
                    </a:stretch>
                  </pic:blipFill>
                  <pic:spPr>
                    <a:xfrm>
                      <a:off x="0" y="0"/>
                      <a:ext cx="2223029" cy="3108826"/>
                    </a:xfrm>
                    <a:prstGeom prst="rect">
                      <a:avLst/>
                    </a:prstGeom>
                    <a:ln/>
                  </pic:spPr>
                </pic:pic>
              </a:graphicData>
            </a:graphic>
          </wp:inline>
        </w:drawing>
      </w:r>
    </w:p>
    <w:p w14:paraId="451AECA5" w14:textId="77777777" w:rsidR="00B921EA" w:rsidRDefault="00BE3086">
      <w:r>
        <w:rPr>
          <w:b/>
        </w:rPr>
        <w:t xml:space="preserve">Figure 1.2. </w:t>
      </w:r>
      <w:r>
        <w:t xml:space="preserve">Distribution of </w:t>
      </w:r>
      <w:r>
        <w:rPr>
          <w:i/>
        </w:rPr>
        <w:t>Vaccinium</w:t>
      </w:r>
      <w:r>
        <w:t xml:space="preserve"> </w:t>
      </w:r>
      <w:r>
        <w:rPr>
          <w:i/>
        </w:rPr>
        <w:t>vitis-idaea</w:t>
      </w:r>
      <w:r>
        <w:t xml:space="preserve"> L from Vander </w:t>
      </w:r>
      <w:proofErr w:type="spellStart"/>
      <w:r>
        <w:t>Kloet</w:t>
      </w:r>
      <w:proofErr w:type="spellEnd"/>
      <w:r>
        <w:t xml:space="preserve"> (1988).</w:t>
      </w:r>
    </w:p>
    <w:p w14:paraId="451AECA6" w14:textId="77777777" w:rsidR="00B921EA" w:rsidRDefault="00B921EA">
      <w:pPr>
        <w:pBdr>
          <w:top w:val="nil"/>
          <w:left w:val="nil"/>
          <w:bottom w:val="nil"/>
          <w:right w:val="nil"/>
          <w:between w:val="nil"/>
        </w:pBdr>
        <w:rPr>
          <w:color w:val="000000"/>
        </w:rPr>
      </w:pPr>
    </w:p>
    <w:p w14:paraId="451AECA7" w14:textId="77777777" w:rsidR="00B921EA" w:rsidRDefault="00BE3086">
      <w:pPr>
        <w:numPr>
          <w:ilvl w:val="1"/>
          <w:numId w:val="10"/>
        </w:numPr>
        <w:pBdr>
          <w:top w:val="nil"/>
          <w:left w:val="nil"/>
          <w:bottom w:val="nil"/>
          <w:right w:val="nil"/>
          <w:between w:val="nil"/>
        </w:pBdr>
        <w:rPr>
          <w:b/>
          <w:color w:val="000000"/>
        </w:rPr>
      </w:pPr>
      <w:r>
        <w:rPr>
          <w:b/>
        </w:rPr>
        <w:t>Cranberry production and economics in the U.S. and world</w:t>
      </w:r>
      <w:r>
        <w:rPr>
          <w:b/>
          <w:color w:val="000000"/>
        </w:rPr>
        <w:t xml:space="preserve"> </w:t>
      </w:r>
      <w:r>
        <w:rPr>
          <w:b/>
          <w:color w:val="000000"/>
        </w:rPr>
        <w:br/>
      </w:r>
    </w:p>
    <w:p w14:paraId="451AECA8" w14:textId="77777777" w:rsidR="00B921EA" w:rsidRDefault="00BE3086">
      <w:pPr>
        <w:numPr>
          <w:ilvl w:val="2"/>
          <w:numId w:val="10"/>
        </w:numPr>
        <w:pBdr>
          <w:top w:val="nil"/>
          <w:left w:val="nil"/>
          <w:bottom w:val="nil"/>
          <w:right w:val="nil"/>
          <w:between w:val="nil"/>
        </w:pBdr>
        <w:rPr>
          <w:b/>
        </w:rPr>
      </w:pPr>
      <w:r>
        <w:rPr>
          <w:b/>
        </w:rPr>
        <w:t>Production and economic impact</w:t>
      </w:r>
    </w:p>
    <w:p w14:paraId="451AECA9" w14:textId="77777777" w:rsidR="00B921EA" w:rsidRDefault="00BE3086">
      <w:r>
        <w:t xml:space="preserve">The total world production of commercial cranberry in 2021 was 495,000 </w:t>
      </w:r>
      <w:proofErr w:type="spellStart"/>
      <w:r>
        <w:t>tonnes</w:t>
      </w:r>
      <w:proofErr w:type="spellEnd"/>
      <w:r>
        <w:t xml:space="preserve"> (or about 11 million barrels; 1 barrel = 100 </w:t>
      </w:r>
      <w:proofErr w:type="spellStart"/>
      <w:r>
        <w:t>lbs</w:t>
      </w:r>
      <w:proofErr w:type="spellEnd"/>
      <w:r>
        <w:t xml:space="preserve"> = 0.045 </w:t>
      </w:r>
      <w:proofErr w:type="spellStart"/>
      <w:r>
        <w:t>tonnes</w:t>
      </w:r>
      <w:proofErr w:type="spellEnd"/>
      <w:r>
        <w:t>), according to the Unite</w:t>
      </w:r>
      <w:r>
        <w:t>d Nations Food and Agriculture Organization (FAOSTAT, 2023). The top cranberry producing countries (with percent of total production in parentheses) are the United States (62%), Canada (30%), and Chile (3.9%). Other countries that produce reportable amount</w:t>
      </w:r>
      <w:r>
        <w:t>s of cranberries include Azerbaijan, Belarus, Latvia, North Macedonia, Romania, Tunisia, Turkey, and Ukraine.</w:t>
      </w:r>
    </w:p>
    <w:p w14:paraId="451AECAA" w14:textId="77777777" w:rsidR="00B921EA" w:rsidRDefault="00BE3086">
      <w:r>
        <w:tab/>
        <w:t xml:space="preserve">Since 2011, cranberry production has increased by 32,000 </w:t>
      </w:r>
      <w:proofErr w:type="spellStart"/>
      <w:r>
        <w:t>tonnes</w:t>
      </w:r>
      <w:proofErr w:type="spellEnd"/>
      <w:r>
        <w:t xml:space="preserve"> (7.0%) (Fig. 1.3). During this time, U.S. production decreased by 29,000 </w:t>
      </w:r>
      <w:proofErr w:type="spellStart"/>
      <w:r>
        <w:t>tonnes</w:t>
      </w:r>
      <w:proofErr w:type="spellEnd"/>
      <w:r>
        <w:t xml:space="preserve"> (</w:t>
      </w:r>
      <w:r>
        <w:t xml:space="preserve">8.3%) and Canadian production increased by 68,000 </w:t>
      </w:r>
      <w:proofErr w:type="spellStart"/>
      <w:r>
        <w:t>tonnes</w:t>
      </w:r>
      <w:proofErr w:type="spellEnd"/>
      <w:r>
        <w:t xml:space="preserve"> (76%).</w:t>
      </w:r>
    </w:p>
    <w:p w14:paraId="451AECAB" w14:textId="77777777" w:rsidR="00B921EA" w:rsidRDefault="00B921EA"/>
    <w:p w14:paraId="451AECAC" w14:textId="77777777" w:rsidR="00B921EA" w:rsidRDefault="00B921EA"/>
    <w:p w14:paraId="451AECAD" w14:textId="77777777" w:rsidR="00B921EA" w:rsidRDefault="00BE3086">
      <w:r>
        <w:rPr>
          <w:noProof/>
        </w:rPr>
        <w:lastRenderedPageBreak/>
        <w:drawing>
          <wp:inline distT="114300" distB="114300" distL="114300" distR="114300" wp14:anchorId="451AEE99" wp14:editId="451AEE9A">
            <wp:extent cx="4243388" cy="2828925"/>
            <wp:effectExtent l="0" t="0" r="0" b="0"/>
            <wp:docPr id="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243388" cy="2828925"/>
                    </a:xfrm>
                    <a:prstGeom prst="rect">
                      <a:avLst/>
                    </a:prstGeom>
                    <a:ln/>
                  </pic:spPr>
                </pic:pic>
              </a:graphicData>
            </a:graphic>
          </wp:inline>
        </w:drawing>
      </w:r>
    </w:p>
    <w:p w14:paraId="451AECAE" w14:textId="77777777" w:rsidR="00B921EA" w:rsidRDefault="00BE3086">
      <w:r>
        <w:rPr>
          <w:b/>
        </w:rPr>
        <w:t xml:space="preserve">Figure 1.3. </w:t>
      </w:r>
      <w:r>
        <w:t>Annual cranberry production (</w:t>
      </w:r>
      <w:proofErr w:type="spellStart"/>
      <w:r>
        <w:t>tonnes</w:t>
      </w:r>
      <w:proofErr w:type="spellEnd"/>
      <w:r>
        <w:t>) in countries with major cultivation along with the remaining global production. (USA, United States of America; CAN, Canada; CHL, Chile.)</w:t>
      </w:r>
    </w:p>
    <w:p w14:paraId="451AECAF" w14:textId="77777777" w:rsidR="00B921EA" w:rsidRDefault="00B921EA"/>
    <w:p w14:paraId="451AECB0" w14:textId="77777777" w:rsidR="00B921EA" w:rsidRDefault="00B921EA"/>
    <w:p w14:paraId="451AECB1" w14:textId="77777777" w:rsidR="00B921EA" w:rsidRDefault="00B921EA"/>
    <w:p w14:paraId="451AECB2" w14:textId="77777777" w:rsidR="00B921EA" w:rsidRDefault="00BE3086">
      <w:r>
        <w:rPr>
          <w:noProof/>
        </w:rPr>
        <w:drawing>
          <wp:inline distT="114300" distB="114300" distL="114300" distR="114300" wp14:anchorId="451AEE9B" wp14:editId="451AEE9C">
            <wp:extent cx="4533138" cy="3777615"/>
            <wp:effectExtent l="0" t="0" r="0" b="0"/>
            <wp:docPr id="2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533138" cy="3777615"/>
                    </a:xfrm>
                    <a:prstGeom prst="rect">
                      <a:avLst/>
                    </a:prstGeom>
                    <a:ln/>
                  </pic:spPr>
                </pic:pic>
              </a:graphicData>
            </a:graphic>
          </wp:inline>
        </w:drawing>
      </w:r>
    </w:p>
    <w:p w14:paraId="451AECB3" w14:textId="77777777" w:rsidR="00B921EA" w:rsidRDefault="00BE3086">
      <w:r>
        <w:rPr>
          <w:b/>
        </w:rPr>
        <w:t xml:space="preserve">Figure 1.4. </w:t>
      </w:r>
      <w:r>
        <w:t>Annual cranberry production statistics (harvested acres, product</w:t>
      </w:r>
      <w:r>
        <w:t xml:space="preserve">ion, production value, and yield) for major cultivation States. (WI, Wisconsin; MA, Massachusetts; NJ, New Jersey; </w:t>
      </w:r>
      <w:proofErr w:type="gramStart"/>
      <w:r>
        <w:t>OR,</w:t>
      </w:r>
      <w:proofErr w:type="gramEnd"/>
      <w:r>
        <w:t xml:space="preserve"> Oregon; WA, Washington.)</w:t>
      </w:r>
    </w:p>
    <w:p w14:paraId="451AECB4" w14:textId="77777777" w:rsidR="00B921EA" w:rsidRDefault="00B921EA">
      <w:pPr>
        <w:ind w:firstLine="720"/>
      </w:pPr>
    </w:p>
    <w:p w14:paraId="451AECB5" w14:textId="77777777" w:rsidR="00B921EA" w:rsidRDefault="00BE3086">
      <w:pPr>
        <w:ind w:firstLine="720"/>
      </w:pPr>
      <w:r>
        <w:lastRenderedPageBreak/>
        <w:t xml:space="preserve">In the U.S., five states account for </w:t>
      </w:r>
      <w:proofErr w:type="gramStart"/>
      <w:r>
        <w:t>the vast majority of</w:t>
      </w:r>
      <w:proofErr w:type="gramEnd"/>
      <w:r>
        <w:t xml:space="preserve"> cranberry production: Wisconsin (61%), Massachusetts </w:t>
      </w:r>
      <w:r>
        <w:t xml:space="preserve">(26%), New Jersey (6.7%), Oregon (6.5%), and Washington (0.88%). From 2011 to 2021, the </w:t>
      </w:r>
      <w:proofErr w:type="gramStart"/>
      <w:r>
        <w:t>amount</w:t>
      </w:r>
      <w:proofErr w:type="gramEnd"/>
      <w:r>
        <w:t xml:space="preserve"> of harvested acres in each state remained relatively stable; however, total production, the value of total production, and yield have been variable (Fig. 1.4).</w:t>
      </w:r>
    </w:p>
    <w:p w14:paraId="451AECB6" w14:textId="77777777" w:rsidR="00B921EA" w:rsidRDefault="00BE3086">
      <w:pPr>
        <w:shd w:val="clear" w:color="auto" w:fill="FFFFFF"/>
        <w:ind w:firstLine="720"/>
      </w:pPr>
      <w:r>
        <w:t>I</w:t>
      </w:r>
      <w:r>
        <w:t xml:space="preserve">n Canada, cranberry production primarily occurs in Quebec, the Maritime Provinces, and British Columbia. Quebec’s 2016 cranberry harvest reached almost 275.9 million </w:t>
      </w:r>
      <w:proofErr w:type="gramStart"/>
      <w:r>
        <w:t>pounds,</w:t>
      </w:r>
      <w:proofErr w:type="gramEnd"/>
      <w:r>
        <w:t xml:space="preserve"> a 32% increase compared to the 208 million pounds recorded in 2015. About 80% of Q</w:t>
      </w:r>
      <w:r>
        <w:t>uebec’s cranberry producers are based in the Centre-du-Quebec region. In 2016, Quebec recorded 9,500 acres of cranberry production. The President of the Quebec Association of Cranberry Producers (APCQ), Louis-Michel Larocque, says that cranberry production</w:t>
      </w:r>
      <w:r>
        <w:t xml:space="preserve"> has been recorded at an average of 29,000 pounds (290 barrels) per acre on Quebec farms. Quebec is the world leader in organic cranberry production. The sector saw a strong 87% increase in 2016 with harvest reaching 40.4 million pounds compared to the 21.</w:t>
      </w:r>
      <w:r>
        <w:t xml:space="preserve">6 million pounds recorded the previous year. Organic acreage will see a large increase over the next few years, and the APCQ says it will </w:t>
      </w:r>
      <w:proofErr w:type="gramStart"/>
      <w:r>
        <w:t>represents</w:t>
      </w:r>
      <w:proofErr w:type="gramEnd"/>
      <w:r>
        <w:t xml:space="preserve"> 31% of acreage put into production in 2018.</w:t>
      </w:r>
    </w:p>
    <w:p w14:paraId="451AECB7" w14:textId="77777777" w:rsidR="00B921EA" w:rsidRDefault="00BE3086">
      <w:pPr>
        <w:ind w:firstLine="720"/>
      </w:pPr>
      <w:r>
        <w:t xml:space="preserve">The Cranberry Institute (2017) estimates that the economic value of cranberry production, fresh and processed, in the U.S. is $3.55 billion annually and represents &gt; 11,600 jobs. In Canada, the value is $411 million and includes &gt; 2,700 jobs. The industry </w:t>
      </w:r>
      <w:r>
        <w:t>encompasses 59,000 acres of cranberry production in the U.S in 5 states and 3 Canadian Provinces. In addition, Chile, in South America, produces about 2% of the total product.</w:t>
      </w:r>
    </w:p>
    <w:p w14:paraId="451AECB8" w14:textId="77777777" w:rsidR="00B921EA" w:rsidRDefault="00B921EA">
      <w:pPr>
        <w:ind w:firstLine="720"/>
      </w:pPr>
    </w:p>
    <w:p w14:paraId="451AECB9" w14:textId="77777777" w:rsidR="00B921EA" w:rsidRDefault="00B921EA">
      <w:pPr>
        <w:pBdr>
          <w:top w:val="nil"/>
          <w:left w:val="nil"/>
          <w:bottom w:val="nil"/>
          <w:right w:val="nil"/>
          <w:between w:val="nil"/>
        </w:pBdr>
      </w:pPr>
    </w:p>
    <w:p w14:paraId="451AECBA" w14:textId="77777777" w:rsidR="00B921EA" w:rsidRDefault="00B921EA">
      <w:pPr>
        <w:pBdr>
          <w:top w:val="nil"/>
          <w:left w:val="nil"/>
          <w:bottom w:val="nil"/>
          <w:right w:val="nil"/>
          <w:between w:val="nil"/>
        </w:pBdr>
        <w:rPr>
          <w:color w:val="000000"/>
        </w:rPr>
      </w:pPr>
    </w:p>
    <w:p w14:paraId="451AECBB" w14:textId="77777777" w:rsidR="00B921EA" w:rsidRDefault="00B921EA"/>
    <w:p w14:paraId="451AECBC" w14:textId="77777777" w:rsidR="00B921EA" w:rsidRDefault="00BE3086">
      <w:pPr>
        <w:numPr>
          <w:ilvl w:val="1"/>
          <w:numId w:val="10"/>
        </w:numPr>
        <w:pBdr>
          <w:top w:val="nil"/>
          <w:left w:val="nil"/>
          <w:bottom w:val="nil"/>
          <w:right w:val="nil"/>
          <w:between w:val="nil"/>
        </w:pBdr>
        <w:rPr>
          <w:b/>
          <w:color w:val="000000"/>
        </w:rPr>
      </w:pPr>
      <w:r>
        <w:rPr>
          <w:b/>
          <w:color w:val="000000"/>
        </w:rPr>
        <w:t>Cranberry genetics and breeding</w:t>
      </w:r>
    </w:p>
    <w:p w14:paraId="451AECBD" w14:textId="77777777" w:rsidR="00B921EA" w:rsidRDefault="00B921EA">
      <w:pPr>
        <w:pBdr>
          <w:top w:val="nil"/>
          <w:left w:val="nil"/>
          <w:bottom w:val="nil"/>
          <w:right w:val="nil"/>
          <w:between w:val="nil"/>
        </w:pBdr>
        <w:rPr>
          <w:b/>
        </w:rPr>
      </w:pPr>
    </w:p>
    <w:p w14:paraId="451AECBE" w14:textId="77777777" w:rsidR="00B921EA" w:rsidRDefault="00BE3086">
      <w:pPr>
        <w:numPr>
          <w:ilvl w:val="2"/>
          <w:numId w:val="10"/>
        </w:numPr>
        <w:pBdr>
          <w:top w:val="nil"/>
          <w:left w:val="nil"/>
          <w:bottom w:val="nil"/>
          <w:right w:val="nil"/>
          <w:between w:val="nil"/>
        </w:pBdr>
        <w:rPr>
          <w:b/>
          <w:color w:val="000000"/>
        </w:rPr>
      </w:pPr>
      <w:r>
        <w:rPr>
          <w:b/>
          <w:color w:val="000000"/>
        </w:rPr>
        <w:t>Early selections and breeding (18</w:t>
      </w:r>
      <w:r>
        <w:rPr>
          <w:b/>
        </w:rPr>
        <w:t>40 - 1985)</w:t>
      </w:r>
    </w:p>
    <w:p w14:paraId="451AECBF" w14:textId="77777777" w:rsidR="00B921EA" w:rsidRDefault="00BE3086">
      <w:r>
        <w:t>Cranberry varieties were first selected more than 180 years ago from wild native stands in the U.S. (New Jersey, Maine, Michigan, Massachusetts, and Wisconsin) and Canada (Ontario, Quebec, and the Maritime Provinces). The best of these “native selections”</w:t>
      </w:r>
      <w:r>
        <w:t xml:space="preserve"> were propagated and, in some cases, grown in many locations outside the original region in which they were selected. </w:t>
      </w:r>
    </w:p>
    <w:p w14:paraId="451AECC0" w14:textId="77777777" w:rsidR="00B921EA" w:rsidRDefault="00BE3086">
      <w:r>
        <w:tab/>
        <w:t>The producing acreage in the early 1900’s of cranberry declined due to ‘false-</w:t>
      </w:r>
      <w:proofErr w:type="gramStart"/>
      <w:r>
        <w:t>blossom</w:t>
      </w:r>
      <w:proofErr w:type="gramEnd"/>
      <w:r>
        <w:t>’</w:t>
      </w:r>
    </w:p>
    <w:p w14:paraId="451AECC1" w14:textId="77777777" w:rsidR="00B921EA" w:rsidRDefault="00BE3086">
      <w:r>
        <w:t>disease, a phytoplasma vectored by the blunt-nose</w:t>
      </w:r>
      <w:r>
        <w:t xml:space="preserve">d </w:t>
      </w:r>
      <w:proofErr w:type="gramStart"/>
      <w:r>
        <w:t>leaf-hopper</w:t>
      </w:r>
      <w:proofErr w:type="gramEnd"/>
      <w:r>
        <w:t>. In response to this disease, a cranberry breeding program was initiated in 1929 by the USDA in cooperation with the</w:t>
      </w:r>
    </w:p>
    <w:p w14:paraId="451AECC2" w14:textId="77777777" w:rsidR="00B921EA" w:rsidRDefault="00BE3086">
      <w:r>
        <w:t>experiment stations at Massachusetts, New Jersey, and Wisconsin. This program was started by making crosses among elite nativ</w:t>
      </w:r>
      <w:r>
        <w:t>e selections that were chosen based on productivity, pest resistance (</w:t>
      </w:r>
      <w:proofErr w:type="gramStart"/>
      <w:r>
        <w:t>e.g.</w:t>
      </w:r>
      <w:proofErr w:type="gramEnd"/>
      <w:r>
        <w:t xml:space="preserve"> less feeding preference by the blunt-nosed leafhopper), phenological development, and desirable fruit quality. C.S. Beckwith in New Jersey,</w:t>
      </w:r>
    </w:p>
    <w:p w14:paraId="451AECC3" w14:textId="77777777" w:rsidR="00B921EA" w:rsidRDefault="00BE3086">
      <w:r>
        <w:t>H. F. Bergman in Massachusetts, and H. F. Bain in Wisconsin made the first crosses and</w:t>
      </w:r>
    </w:p>
    <w:p w14:paraId="451AECC4" w14:textId="77777777" w:rsidR="00B921EA" w:rsidRDefault="00BE3086">
      <w:r>
        <w:t>selections for cranberry improvement through breeding.</w:t>
      </w:r>
    </w:p>
    <w:p w14:paraId="451AECC5" w14:textId="77777777" w:rsidR="00B921EA" w:rsidRDefault="00BE3086">
      <w:pPr>
        <w:ind w:firstLine="720"/>
      </w:pPr>
      <w:r>
        <w:t>By the early 1980s, active genetic improvement programs had released seven cultivars available to growers: ‘Beckwi</w:t>
      </w:r>
      <w:r>
        <w:t>th’, ‘Bergman’, ‘Crowley’, ‘Franklin’, ‘Pilgrim’, ‘Stevens’, and ‘Wilcox’ (Eck 1990). These represented a small fraction of the more than 100 varieties that were named and described (Dana, 1983), the majority of which were still native selections. Since th</w:t>
      </w:r>
      <w:r>
        <w:t xml:space="preserve">en, 16 new cultivars have been released product from breeding programs at the University of </w:t>
      </w:r>
      <w:r>
        <w:lastRenderedPageBreak/>
        <w:t>Wisconsin-Madison, Rutgers University, and a private Wisconsin breeder (Valley Corp.; http://www.cranberryvine.com/cranberry-varieties)</w:t>
      </w:r>
    </w:p>
    <w:p w14:paraId="451AECC6" w14:textId="77777777" w:rsidR="00B921EA" w:rsidRDefault="00B921EA">
      <w:pPr>
        <w:rPr>
          <w:b/>
        </w:rPr>
      </w:pPr>
    </w:p>
    <w:p w14:paraId="451AECC7" w14:textId="77777777" w:rsidR="00B921EA" w:rsidRDefault="00BE3086">
      <w:pPr>
        <w:numPr>
          <w:ilvl w:val="2"/>
          <w:numId w:val="10"/>
        </w:numPr>
        <w:pBdr>
          <w:top w:val="nil"/>
          <w:left w:val="nil"/>
          <w:bottom w:val="nil"/>
          <w:right w:val="nil"/>
          <w:between w:val="nil"/>
        </w:pBdr>
        <w:rPr>
          <w:b/>
          <w:color w:val="000000"/>
        </w:rPr>
      </w:pPr>
      <w:r>
        <w:rPr>
          <w:b/>
          <w:color w:val="000000"/>
        </w:rPr>
        <w:t xml:space="preserve">Modern genetic improvement </w:t>
      </w:r>
      <w:r>
        <w:rPr>
          <w:b/>
          <w:color w:val="000000"/>
        </w:rPr>
        <w:t>(1985</w:t>
      </w:r>
      <w:r>
        <w:rPr>
          <w:b/>
        </w:rPr>
        <w:t xml:space="preserve"> - Present)</w:t>
      </w:r>
    </w:p>
    <w:p w14:paraId="451AECC8" w14:textId="77777777" w:rsidR="00B921EA" w:rsidRDefault="00BE3086">
      <w:r>
        <w:t>Active cranberry breeding programs include those at USDA-ARS, Rutgers University,</w:t>
      </w:r>
    </w:p>
    <w:p w14:paraId="451AECC9" w14:textId="77777777" w:rsidR="00B921EA" w:rsidRDefault="00BE3086">
      <w:r>
        <w:t xml:space="preserve">University of Wisconsin, and private breeders. These programs have released cultivars that </w:t>
      </w:r>
      <w:proofErr w:type="gramStart"/>
      <w:r>
        <w:t>are</w:t>
      </w:r>
      <w:proofErr w:type="gramEnd"/>
    </w:p>
    <w:p w14:paraId="451AECCA" w14:textId="77777777" w:rsidR="00B921EA" w:rsidRDefault="00BE3086">
      <w:r>
        <w:t>highly improved for yield, fruit qualities, color intensity, f</w:t>
      </w:r>
      <w:r>
        <w:t>ruit size, ripening season, storage</w:t>
      </w:r>
    </w:p>
    <w:p w14:paraId="451AECCB" w14:textId="77777777" w:rsidR="00B921EA" w:rsidRDefault="00BE3086">
      <w:r>
        <w:t>attributes, and keeping quality (Vorsa and Johnson-Cicalese 2012). During the past two decades,</w:t>
      </w:r>
    </w:p>
    <w:p w14:paraId="451AECCC" w14:textId="77777777" w:rsidR="00B921EA" w:rsidRDefault="00BE3086">
      <w:r>
        <w:t xml:space="preserve">growers began the transition from growing older heritage cultivars to those recently </w:t>
      </w:r>
      <w:proofErr w:type="gramStart"/>
      <w:r>
        <w:t>developed</w:t>
      </w:r>
      <w:proofErr w:type="gramEnd"/>
    </w:p>
    <w:p w14:paraId="451AECCD" w14:textId="77777777" w:rsidR="00B921EA" w:rsidRDefault="00BE3086">
      <w:r>
        <w:t>from breeding programs.</w:t>
      </w:r>
    </w:p>
    <w:p w14:paraId="451AECCE" w14:textId="77777777" w:rsidR="00B921EA" w:rsidRDefault="00BE3086">
      <w:pPr>
        <w:ind w:firstLine="720"/>
      </w:pPr>
      <w:r>
        <w:t>The R</w:t>
      </w:r>
      <w:r>
        <w:t>utgers University cranberry breeding program was started in 1985 and was led by Dr. Nicholi Vorsa until 2022. Initial breeding efforts focused on consistent higher yields, anthocyanin production (fruit color), fruit size, and season. Since 2006, the progra</w:t>
      </w:r>
      <w:r>
        <w:t>m has released seven cultivars: “Crimson Queen” (2006), “</w:t>
      </w:r>
      <w:proofErr w:type="spellStart"/>
      <w:r>
        <w:t>Demoranville</w:t>
      </w:r>
      <w:proofErr w:type="spellEnd"/>
      <w:r>
        <w:t>” (2006), “Mullica Queen” (2007), “Scarlet Knight” (2010), “Haines” (2017), “Welker,” (2017) and “</w:t>
      </w:r>
      <w:proofErr w:type="spellStart"/>
      <w:r>
        <w:t>Vasanna</w:t>
      </w:r>
      <w:proofErr w:type="spellEnd"/>
      <w:r>
        <w:t>” (2020). The program is focused on developing and releasing cultivars that perfor</w:t>
      </w:r>
      <w:r>
        <w:t>m well in any of the major cranberry production regions, including New Jersey, Wisconsin, Massachusetts, and the Pacific Northwest. Thus, Rutgers has planted replicated multi-state variety trials between New Jersey, Wisconsin, Oregon, Washington, and Briti</w:t>
      </w:r>
      <w:r>
        <w:t>sh Columbia. The current breeding trait priorities focus on improved yield, fruit quality (firmness, fruit chemistry), heat stress tolerance, and resistance to fruit rot. New Jersey is an ideal location for breeding for stress tolerance and resistance to d</w:t>
      </w:r>
      <w:r>
        <w:t>iseases, due to the severe environmental and pathogen pressures. Newly developed cultivars are protected by plant patents and are licensed to nurseries for propagation.</w:t>
      </w:r>
    </w:p>
    <w:p w14:paraId="451AECCF" w14:textId="77777777" w:rsidR="00B921EA" w:rsidRDefault="00BE3086">
      <w:pPr>
        <w:ind w:firstLine="720"/>
      </w:pPr>
      <w:r>
        <w:t xml:space="preserve">The breeding program at the University of Wisconsin-Madison was established and led by </w:t>
      </w:r>
      <w:r>
        <w:t>Dr. Brent McCown and Eric Zeldin in the 1990s to help growers produce better cranberries. Starting in 2003, this program released several cultivars targeting all major cranberry production regions. The program released three cultivars: “</w:t>
      </w:r>
      <w:proofErr w:type="spellStart"/>
      <w:r>
        <w:t>HyRed</w:t>
      </w:r>
      <w:proofErr w:type="spellEnd"/>
      <w:r>
        <w:t>”, “Sundance”,</w:t>
      </w:r>
      <w:r>
        <w:t xml:space="preserve"> and “Ruby Star.” “</w:t>
      </w:r>
      <w:proofErr w:type="spellStart"/>
      <w:r>
        <w:t>HyRed</w:t>
      </w:r>
      <w:proofErr w:type="spellEnd"/>
      <w:r>
        <w:t xml:space="preserve">” was the first modern cultivar released in 2003 from crosses between “Stevens” and “Ben Lear” (a </w:t>
      </w:r>
      <w:proofErr w:type="spellStart"/>
      <w:r>
        <w:t>selfed</w:t>
      </w:r>
      <w:proofErr w:type="spellEnd"/>
      <w:r>
        <w:t xml:space="preserve"> derivative called BL8 = open pollinated “Ben Lear”), with the goal of combining the reliable production of “Stevens” with the g</w:t>
      </w:r>
      <w:r>
        <w:t>ood color of “Ben Lear”. “</w:t>
      </w:r>
      <w:proofErr w:type="spellStart"/>
      <w:r>
        <w:t>HyRed</w:t>
      </w:r>
      <w:proofErr w:type="spellEnd"/>
      <w:r>
        <w:t xml:space="preserve">” was selected for early and uniform fruit color development (up to 2+ weeks earlier than “Stevens”), uniform fruit color, good acid flavor, high bud and </w:t>
      </w:r>
      <w:proofErr w:type="spellStart"/>
      <w:r>
        <w:t>rebud</w:t>
      </w:r>
      <w:proofErr w:type="spellEnd"/>
      <w:r>
        <w:t xml:space="preserve"> set, high </w:t>
      </w:r>
      <w:proofErr w:type="spellStart"/>
      <w:r>
        <w:t>tipworm</w:t>
      </w:r>
      <w:proofErr w:type="spellEnd"/>
      <w:r>
        <w:t xml:space="preserve"> tolerance (will set buds despite damage), less </w:t>
      </w:r>
      <w:r>
        <w:t>prone to overgrowth than “Stevens,” and with reliably good yields. “Sundance” is a full sibling of “</w:t>
      </w:r>
      <w:proofErr w:type="spellStart"/>
      <w:r>
        <w:t>HyRed</w:t>
      </w:r>
      <w:proofErr w:type="spellEnd"/>
      <w:r>
        <w:t>” (“Stevens” x “BL8”) and was selected for its limited overgrowth under high-fertility conditions, mid-late season maturation, reliable fruit color dev</w:t>
      </w:r>
      <w:r>
        <w:t xml:space="preserve">elopment, large and firm fruit, high bud and </w:t>
      </w:r>
      <w:proofErr w:type="spellStart"/>
      <w:r>
        <w:t>rebud</w:t>
      </w:r>
      <w:proofErr w:type="spellEnd"/>
      <w:r>
        <w:t xml:space="preserve"> set, high </w:t>
      </w:r>
      <w:proofErr w:type="spellStart"/>
      <w:r>
        <w:t>tipworm</w:t>
      </w:r>
      <w:proofErr w:type="spellEnd"/>
      <w:r>
        <w:t xml:space="preserve"> tolerance, and reliably yields over 450 barrels per acre. Finally, “Ruby Star” is a very early flowering and early maturation cultivar with uniform color development, high bud and </w:t>
      </w:r>
      <w:proofErr w:type="spellStart"/>
      <w:r>
        <w:t>rebud</w:t>
      </w:r>
      <w:proofErr w:type="spellEnd"/>
      <w:r>
        <w:t xml:space="preserve"> s</w:t>
      </w:r>
      <w:r>
        <w:t xml:space="preserve">et, and high fruit set. These released cultivars are protected by UW-Madison through a plant patent and released to growers through the Wisconsin Alumni Research Foundation (WARF) for propagation and use. </w:t>
      </w:r>
    </w:p>
    <w:p w14:paraId="451AECD0" w14:textId="77777777" w:rsidR="00B921EA" w:rsidRDefault="00BE3086">
      <w:pPr>
        <w:ind w:firstLine="720"/>
      </w:pPr>
      <w:r>
        <w:t xml:space="preserve"> In 2010, the USDA-ARS developed the Cranberry Gen</w:t>
      </w:r>
      <w:r>
        <w:t>etics and Genomics Lab (CGGL) at the University of Wisconsin-Madison in the Vegetable Crops Research Unit. This program is currently led by Dr. Juan Zalapa. The goal of this program is to develop cultivars and germplasm that are useful for growers, consume</w:t>
      </w:r>
      <w:r>
        <w:t xml:space="preserve">rs, and other researchers, in addition to identifying and studying traits that are useful for breeding and developing genetic and other tools to broaden the knowledge base of cranberry. Since its inception the Cranberry Genetics and Genomics Lab has </w:t>
      </w:r>
      <w:r>
        <w:lastRenderedPageBreak/>
        <w:t>worked</w:t>
      </w:r>
      <w:r>
        <w:t xml:space="preserve"> on developing molecular tools useful for breeding, including the sequencing of the cranberry plastid and mitochondrial genomes, the development of chromosome scale genomes for the cranberry cultivar “Stevens” and the closest relative of cultivated cranber</w:t>
      </w:r>
      <w:r>
        <w:t xml:space="preserve">ries, </w:t>
      </w:r>
      <w:r>
        <w:rPr>
          <w:i/>
        </w:rPr>
        <w:t>Vaccinium</w:t>
      </w:r>
      <w:r>
        <w:t xml:space="preserve"> </w:t>
      </w:r>
      <w:proofErr w:type="spellStart"/>
      <w:r>
        <w:rPr>
          <w:i/>
        </w:rPr>
        <w:t>microcarpum</w:t>
      </w:r>
      <w:proofErr w:type="spellEnd"/>
      <w:r>
        <w:t xml:space="preserve">. Additionally, the USDA-ARS cranberry breeding program has developed thousands of molecular markers, mainly microsatellites and single nucleotide polymorphisms (SNPs), based on cranberry sequencing data. These markers have been </w:t>
      </w:r>
      <w:r>
        <w:t>used for genetic fingerprinting of cranberry cultivars, genetic diversity studies, linkage mapping, quantitative trait mapping, and a pilot genomic selection study. The program has also worked extensively in standardizing and improving traditional phenotyp</w:t>
      </w:r>
      <w:r>
        <w:t>ing methods while developing and refining new high-throughput phenotyping methods to study traits of economic and horticultural importance. The initial focal traits for the genetic and breeding program included yield, field fruit rot, fruit number, average</w:t>
      </w:r>
      <w:r>
        <w:t xml:space="preserve"> fruit weight, </w:t>
      </w:r>
      <w:proofErr w:type="spellStart"/>
      <w:r>
        <w:t>TAcy</w:t>
      </w:r>
      <w:proofErr w:type="spellEnd"/>
      <w:r>
        <w:t xml:space="preserve">, total acid, total soluble solids, and </w:t>
      </w:r>
      <w:proofErr w:type="spellStart"/>
      <w:r>
        <w:t>proanthocyanidins</w:t>
      </w:r>
      <w:proofErr w:type="spellEnd"/>
      <w:r>
        <w:t>. More recently, the CGGL has partnered with the Vaccinium Coordinated Agricultural Project (</w:t>
      </w:r>
      <w:proofErr w:type="spellStart"/>
      <w:r>
        <w:t>VacCAP</w:t>
      </w:r>
      <w:proofErr w:type="spellEnd"/>
      <w:r>
        <w:t>) to allow the development of high-throughput phenotyping methods for fruit quali</w:t>
      </w:r>
      <w:r>
        <w:t>ty traits, particularly those related to sweetened and dried cranberry (SDC) production, including: external appearance traits such as color and color variation, fruit size traits and shape traits; internal structure such as fruit size, locule size, and to</w:t>
      </w:r>
      <w:r>
        <w:t>tal pericarp area; and fruit texture, such as single compression maximum compression force and the apparent modulus of elasticity. Finally, the CGGL has recently established 3,750 breeding and diversity plots in collaboration with the Wisconsin State Cranb</w:t>
      </w:r>
      <w:r>
        <w:t xml:space="preserve">erry Growers Association (WSCGA) at the Wisconsin Cranberry Research Station (WCRS). The breeding and diversity plots at WCRS represent a renewed effort by the USDA-ARS at UW-Madison to identify, preserve, and utilize unique genetic materials to breed and </w:t>
      </w:r>
      <w:r>
        <w:t>release a new generation of improved cranberries. The CGGL use of the latest molecular tools in conjunction with traditional plant breeding will help meet current and future challenges of the cranberry industry, including increasing yield in sustainable pr</w:t>
      </w:r>
      <w:r>
        <w:t>oduction systems, improving berry quality and nutrition, and responding to increasingly variable and extreme climates, insects, and disease pressures.</w:t>
      </w:r>
    </w:p>
    <w:p w14:paraId="451AECD1" w14:textId="77777777" w:rsidR="00B921EA" w:rsidRDefault="00BE3086">
      <w:pPr>
        <w:pBdr>
          <w:top w:val="nil"/>
          <w:left w:val="nil"/>
          <w:bottom w:val="nil"/>
          <w:right w:val="nil"/>
          <w:between w:val="nil"/>
        </w:pBdr>
        <w:ind w:firstLine="720"/>
        <w:rPr>
          <w:b/>
        </w:rPr>
      </w:pPr>
      <w:r>
        <w:t xml:space="preserve">The newest cranberry breeding initiative is the USDA-ARS pre-breeding program in New Jersey, started and </w:t>
      </w:r>
      <w:r>
        <w:t>led by Dr. Jeff Neyhart in 2021. This program is part of the Genetic Improvement for Fruits and Vegetables Laboratory. The objectives of this pre-breeding program are to discover and understand genetic variation for useful traits, develop new methods for c</w:t>
      </w:r>
      <w:r>
        <w:t>ranberry improvement, and to deliver superior germplasm and parents for use in the cultivar development programs at Rutgers University and the USDA-ARS program in Madison, WI. To meet these objectives, the program is using high-throughput phenotyping, geno</w:t>
      </w:r>
      <w:r>
        <w:t>mics, and applied quantitative genetics to facilitate efficient trait discovery, increase breeding efficiency, and rapidly improve populations. The breeding program is focused on traits such as tolerance to abiotic stresses, including heat, cold, and droug</w:t>
      </w:r>
      <w:r>
        <w:t>ht; resistance to diseases such as false blossom and fruit rot; and maintaining progress in fruit quality and productivity.</w:t>
      </w:r>
      <w:r>
        <w:rPr>
          <w:b/>
        </w:rPr>
        <w:br/>
      </w:r>
    </w:p>
    <w:p w14:paraId="451AECD2" w14:textId="77777777" w:rsidR="00B921EA" w:rsidRDefault="00BE3086">
      <w:pPr>
        <w:numPr>
          <w:ilvl w:val="0"/>
          <w:numId w:val="10"/>
        </w:numPr>
        <w:pBdr>
          <w:top w:val="nil"/>
          <w:left w:val="nil"/>
          <w:bottom w:val="nil"/>
          <w:right w:val="nil"/>
          <w:between w:val="nil"/>
        </w:pBdr>
        <w:rPr>
          <w:b/>
          <w:color w:val="000000"/>
        </w:rPr>
      </w:pPr>
      <w:r>
        <w:rPr>
          <w:b/>
        </w:rPr>
        <w:t xml:space="preserve">Current and (re)emerging threats and </w:t>
      </w:r>
      <w:proofErr w:type="gramStart"/>
      <w:r>
        <w:rPr>
          <w:b/>
        </w:rPr>
        <w:t>needs</w:t>
      </w:r>
      <w:proofErr w:type="gramEnd"/>
    </w:p>
    <w:p w14:paraId="451AECD3" w14:textId="77777777" w:rsidR="00B921EA" w:rsidRDefault="00BE3086">
      <w:r>
        <w:t>Developing new cranberry cultivars requires breeders to be aware of existing and emerging needs throughout the supply chain, from producer to consumer and germplasm as source of critical breeding traits. Many diseases and pests challenge the growth and pro</w:t>
      </w:r>
      <w:r>
        <w:t xml:space="preserve">duction of cranberry. Along with the US Department of Agriculture, and universities in the major cranberry production regions, the cranberry industry is a strong supporter of genetic enhancement efforts through research and breeding. Recently, a study was </w:t>
      </w:r>
      <w:r>
        <w:t xml:space="preserve">conducted to investigate the relative </w:t>
      </w:r>
      <w:r>
        <w:lastRenderedPageBreak/>
        <w:t xml:space="preserve">importance of cranberry fruit and plant quality traits for growers and processors. Industry responses, in general, signaled that the most important trait clusters were fruit quality, and in particular, firmness, fruit </w:t>
      </w:r>
      <w:r>
        <w:t>size and anthocyanin content. Among diseases, resistance to field fruit rot ranked the most important trait across all states. There were differences across states in importance assigned to other disease resistance traits, insect resistance and tolerance t</w:t>
      </w:r>
      <w:r>
        <w:t>o abiotic stress (Gallardo et al. in preparation).</w:t>
      </w:r>
    </w:p>
    <w:p w14:paraId="451AECD4" w14:textId="77777777" w:rsidR="00B921EA" w:rsidRDefault="00BE3086">
      <w:pPr>
        <w:pBdr>
          <w:top w:val="nil"/>
          <w:left w:val="nil"/>
          <w:bottom w:val="nil"/>
          <w:right w:val="nil"/>
          <w:between w:val="nil"/>
        </w:pBdr>
        <w:ind w:firstLine="720"/>
      </w:pPr>
      <w:r>
        <w:t xml:space="preserve">Cranberry, being a minor crop, lacks appropriate security propagation protocols for maintaining genetic fidelity, and official certification programs are not present. Primary collections at national </w:t>
      </w:r>
      <w:proofErr w:type="spellStart"/>
      <w:r>
        <w:t>geneba</w:t>
      </w:r>
      <w:r>
        <w:t>nks</w:t>
      </w:r>
      <w:proofErr w:type="spellEnd"/>
      <w:r>
        <w:t xml:space="preserve"> consists of living plants, protected in containers in greenhouses or screenhouses, or growing in the field. </w:t>
      </w:r>
    </w:p>
    <w:p w14:paraId="451AECD5" w14:textId="77777777" w:rsidR="00B921EA" w:rsidRDefault="00BE3086">
      <w:pPr>
        <w:ind w:firstLine="720"/>
      </w:pPr>
      <w:r>
        <w:t xml:space="preserve">Plant material grown outdoors cannot be certified as pathogen negative. Secondary backup collections are maintained </w:t>
      </w:r>
      <w:r>
        <w:rPr>
          <w:i/>
        </w:rPr>
        <w:t>in vitro</w:t>
      </w:r>
      <w:r>
        <w:t xml:space="preserve"> under refrigerated</w:t>
      </w:r>
      <w:r>
        <w:t xml:space="preserve"> temperatures. Long-term backup collections of meristems are placed in cryogenic storage at remote locations to provide decades of security. Species diversity is represented by seed lots stored in -18°C or backed-up in tissue culture. Conservation of clona</w:t>
      </w:r>
      <w:r>
        <w:t>lly propagated material, where genotypes were maintained, is more complicated and expensive than storing seeds, where the objective is to preserve genes. The health status of both forms of storage was of primary importance for plant distribution to meet gl</w:t>
      </w:r>
      <w:r>
        <w:t xml:space="preserve">obal plant quarantine regulations. </w:t>
      </w:r>
    </w:p>
    <w:p w14:paraId="451AECD6" w14:textId="77777777" w:rsidR="00B921EA" w:rsidRDefault="00BE3086">
      <w:pPr>
        <w:ind w:firstLine="720"/>
      </w:pPr>
      <w:r>
        <w:t xml:space="preserve">Cranberry and lingonberry, being specialty crops, have limited world resources available for conservation of these crops and their wild relatives. These limited resources constrain the management of </w:t>
      </w:r>
      <w:r>
        <w:rPr>
          <w:i/>
        </w:rPr>
        <w:t>Vaccinium</w:t>
      </w:r>
      <w:r>
        <w:t xml:space="preserve"> genetic res</w:t>
      </w:r>
      <w:r>
        <w:t>ources. Pathogen testing and elimination procedures are critical to maintain pathogen-negative plants to satisfy quarantine requirements.</w:t>
      </w:r>
      <w:r>
        <w:br/>
      </w:r>
    </w:p>
    <w:p w14:paraId="451AECD7" w14:textId="77777777" w:rsidR="00B921EA" w:rsidRDefault="00BE3086">
      <w:pPr>
        <w:numPr>
          <w:ilvl w:val="1"/>
          <w:numId w:val="10"/>
        </w:numPr>
        <w:pBdr>
          <w:top w:val="nil"/>
          <w:left w:val="nil"/>
          <w:bottom w:val="nil"/>
          <w:right w:val="nil"/>
          <w:between w:val="nil"/>
        </w:pBdr>
        <w:rPr>
          <w:b/>
        </w:rPr>
      </w:pPr>
      <w:r>
        <w:rPr>
          <w:b/>
        </w:rPr>
        <w:t xml:space="preserve">Threats of genetic erosion </w:t>
      </w:r>
      <w:r>
        <w:rPr>
          <w:b/>
          <w:i/>
        </w:rPr>
        <w:t>in situ</w:t>
      </w:r>
    </w:p>
    <w:p w14:paraId="451AECD8" w14:textId="77777777" w:rsidR="00B921EA" w:rsidRDefault="00BE3086">
      <w:pPr>
        <w:pBdr>
          <w:top w:val="nil"/>
          <w:left w:val="nil"/>
          <w:bottom w:val="nil"/>
          <w:right w:val="nil"/>
          <w:between w:val="nil"/>
        </w:pBdr>
        <w:rPr>
          <w:b/>
        </w:rPr>
      </w:pPr>
      <w:r>
        <w:t xml:space="preserve">According to </w:t>
      </w:r>
      <w:proofErr w:type="spellStart"/>
      <w:r>
        <w:t>Natureserve</w:t>
      </w:r>
      <w:proofErr w:type="spellEnd"/>
      <w:r>
        <w:t xml:space="preserve"> (2017) </w:t>
      </w:r>
      <w:r>
        <w:rPr>
          <w:i/>
        </w:rPr>
        <w:t>Vaccinium macrocarpon</w:t>
      </w:r>
      <w:r>
        <w:t xml:space="preserve"> has a secure species designation (G5). This species is widespread as a native plant in northeastern North America (</w:t>
      </w:r>
      <w:proofErr w:type="spellStart"/>
      <w:r>
        <w:t>Kartesz</w:t>
      </w:r>
      <w:proofErr w:type="spellEnd"/>
      <w:r>
        <w:t xml:space="preserve"> 1999), being found in acidic soils and peatlands including bogs, fens, swamps, and interdunal swales (Vander </w:t>
      </w:r>
      <w:proofErr w:type="spellStart"/>
      <w:r>
        <w:t>Kloet</w:t>
      </w:r>
      <w:proofErr w:type="spellEnd"/>
      <w:r>
        <w:t xml:space="preserve"> 1988, Weakley 200</w:t>
      </w:r>
      <w:r>
        <w:t>0). This species is rare in the portion of its range along the Appalachians and the Southeastern coastal plain (Weakley 2000).</w:t>
      </w:r>
    </w:p>
    <w:p w14:paraId="451AECD9" w14:textId="77777777" w:rsidR="00B921EA" w:rsidRDefault="00B921EA">
      <w:pPr>
        <w:pBdr>
          <w:top w:val="nil"/>
          <w:left w:val="nil"/>
          <w:bottom w:val="nil"/>
          <w:right w:val="nil"/>
          <w:between w:val="nil"/>
        </w:pBdr>
        <w:ind w:left="720"/>
        <w:rPr>
          <w:b/>
        </w:rPr>
      </w:pPr>
    </w:p>
    <w:p w14:paraId="451AECDA" w14:textId="77777777" w:rsidR="00B921EA" w:rsidRDefault="00BE3086">
      <w:pPr>
        <w:numPr>
          <w:ilvl w:val="1"/>
          <w:numId w:val="10"/>
        </w:numPr>
        <w:pBdr>
          <w:top w:val="nil"/>
          <w:left w:val="nil"/>
          <w:bottom w:val="nil"/>
          <w:right w:val="nil"/>
          <w:between w:val="nil"/>
        </w:pBdr>
        <w:rPr>
          <w:b/>
        </w:rPr>
      </w:pPr>
      <w:r>
        <w:rPr>
          <w:b/>
          <w:color w:val="000000"/>
        </w:rPr>
        <w:t>Biotic</w:t>
      </w:r>
      <w:r>
        <w:rPr>
          <w:b/>
        </w:rPr>
        <w:t xml:space="preserve"> threats (disease and pests)</w:t>
      </w:r>
      <w:r>
        <w:rPr>
          <w:b/>
        </w:rPr>
        <w:br/>
      </w:r>
    </w:p>
    <w:p w14:paraId="451AECDB" w14:textId="77777777" w:rsidR="00B921EA" w:rsidRDefault="00BE3086">
      <w:pPr>
        <w:numPr>
          <w:ilvl w:val="2"/>
          <w:numId w:val="10"/>
        </w:numPr>
        <w:pBdr>
          <w:top w:val="nil"/>
          <w:left w:val="nil"/>
          <w:bottom w:val="nil"/>
          <w:right w:val="nil"/>
          <w:between w:val="nil"/>
        </w:pBdr>
        <w:rPr>
          <w:b/>
        </w:rPr>
      </w:pPr>
      <w:r>
        <w:rPr>
          <w:b/>
        </w:rPr>
        <w:t>Viral diseases</w:t>
      </w:r>
    </w:p>
    <w:p w14:paraId="451AECDC" w14:textId="77777777" w:rsidR="00B921EA" w:rsidRDefault="00BE3086">
      <w:sdt>
        <w:sdtPr>
          <w:tag w:val="goog_rdk_0"/>
          <w:id w:val="390083565"/>
        </w:sdtPr>
        <w:sdtEndPr/>
        <w:sdtContent/>
      </w:sdt>
      <w:r>
        <w:t>Four viruses that infect cranberries have been reported (Appendix Table 3).</w:t>
      </w:r>
      <w:r>
        <w:t xml:space="preserve"> Martin et al. (2012) </w:t>
      </w:r>
      <w:proofErr w:type="gramStart"/>
      <w:r>
        <w:t>describe</w:t>
      </w:r>
      <w:proofErr w:type="gramEnd"/>
      <w:r>
        <w:t xml:space="preserve"> their vectors and epidemiology whereas McFarlane et al. (2015) provided information on detection methods, regional occurrence, and common primers (Appendix Table 4 and 5). </w:t>
      </w:r>
      <w:r>
        <w:t xml:space="preserve"> </w:t>
      </w:r>
    </w:p>
    <w:p w14:paraId="451AECDD" w14:textId="77777777" w:rsidR="00B921EA" w:rsidRDefault="00BE3086">
      <w:r>
        <w:br/>
      </w:r>
    </w:p>
    <w:p w14:paraId="451AECDE" w14:textId="77777777" w:rsidR="00B921EA" w:rsidRDefault="00BE3086">
      <w:pPr>
        <w:numPr>
          <w:ilvl w:val="2"/>
          <w:numId w:val="10"/>
        </w:numPr>
        <w:rPr>
          <w:b/>
        </w:rPr>
      </w:pPr>
      <w:r>
        <w:rPr>
          <w:b/>
        </w:rPr>
        <w:t>Fungal and bacterial diseases</w:t>
      </w:r>
    </w:p>
    <w:p w14:paraId="451AECDF" w14:textId="77777777" w:rsidR="00B921EA" w:rsidRDefault="00BE3086">
      <w:r>
        <w:t xml:space="preserve">Cranberry plants and fruit are affected by </w:t>
      </w:r>
      <w:proofErr w:type="gramStart"/>
      <w:r>
        <w:t>a number of</w:t>
      </w:r>
      <w:proofErr w:type="gramEnd"/>
      <w:r>
        <w:t xml:space="preserve"> major fungal diseases including root rots caused by </w:t>
      </w:r>
      <w:r>
        <w:rPr>
          <w:i/>
        </w:rPr>
        <w:t xml:space="preserve">Phytophthora </w:t>
      </w:r>
      <w:proofErr w:type="spellStart"/>
      <w:r>
        <w:rPr>
          <w:i/>
        </w:rPr>
        <w:t>cinnamomi</w:t>
      </w:r>
      <w:proofErr w:type="spellEnd"/>
      <w:r>
        <w:t xml:space="preserve">; diebacks caused by </w:t>
      </w:r>
      <w:r>
        <w:rPr>
          <w:i/>
        </w:rPr>
        <w:t>Phomopsis</w:t>
      </w:r>
      <w:r>
        <w:t xml:space="preserve"> </w:t>
      </w:r>
      <w:proofErr w:type="spellStart"/>
      <w:r>
        <w:rPr>
          <w:i/>
        </w:rPr>
        <w:t>vaccinii</w:t>
      </w:r>
      <w:proofErr w:type="spellEnd"/>
      <w:r>
        <w:t xml:space="preserve">, </w:t>
      </w:r>
      <w:proofErr w:type="spellStart"/>
      <w:r>
        <w:rPr>
          <w:i/>
        </w:rPr>
        <w:t>Fusicoccum</w:t>
      </w:r>
      <w:proofErr w:type="spellEnd"/>
      <w:r>
        <w:t xml:space="preserve"> </w:t>
      </w:r>
      <w:proofErr w:type="spellStart"/>
      <w:r>
        <w:rPr>
          <w:i/>
        </w:rPr>
        <w:t>putrefaciens</w:t>
      </w:r>
      <w:proofErr w:type="spellEnd"/>
      <w:r>
        <w:t xml:space="preserve">, and </w:t>
      </w:r>
      <w:proofErr w:type="spellStart"/>
      <w:r>
        <w:rPr>
          <w:i/>
        </w:rPr>
        <w:t>Synchronoblastia</w:t>
      </w:r>
      <w:proofErr w:type="spellEnd"/>
      <w:r>
        <w:rPr>
          <w:i/>
        </w:rPr>
        <w:t xml:space="preserve"> crypta</w:t>
      </w:r>
      <w:r>
        <w:t>; fa</w:t>
      </w:r>
      <w:r>
        <w:t xml:space="preserve">iry rings caused by </w:t>
      </w:r>
      <w:proofErr w:type="spellStart"/>
      <w:r>
        <w:rPr>
          <w:i/>
        </w:rPr>
        <w:t>Helicobasidium</w:t>
      </w:r>
      <w:proofErr w:type="spellEnd"/>
      <w:r>
        <w:rPr>
          <w:i/>
        </w:rPr>
        <w:t xml:space="preserve"> </w:t>
      </w:r>
      <w:proofErr w:type="spellStart"/>
      <w:r>
        <w:rPr>
          <w:i/>
        </w:rPr>
        <w:t>longisporum</w:t>
      </w:r>
      <w:proofErr w:type="spellEnd"/>
      <w:r>
        <w:t xml:space="preserve">, and leaf spots caused by </w:t>
      </w:r>
      <w:proofErr w:type="spellStart"/>
      <w:r>
        <w:rPr>
          <w:i/>
        </w:rPr>
        <w:t>Pyrenobotrys</w:t>
      </w:r>
      <w:proofErr w:type="spellEnd"/>
      <w:r>
        <w:t xml:space="preserve"> </w:t>
      </w:r>
      <w:r>
        <w:rPr>
          <w:i/>
        </w:rPr>
        <w:t>compacta</w:t>
      </w:r>
      <w:r>
        <w:t xml:space="preserve"> and </w:t>
      </w:r>
      <w:proofErr w:type="spellStart"/>
      <w:r>
        <w:rPr>
          <w:i/>
        </w:rPr>
        <w:t>Protoventuria</w:t>
      </w:r>
      <w:proofErr w:type="spellEnd"/>
      <w:r>
        <w:rPr>
          <w:i/>
        </w:rPr>
        <w:t xml:space="preserve"> </w:t>
      </w:r>
      <w:proofErr w:type="spellStart"/>
      <w:r>
        <w:rPr>
          <w:i/>
        </w:rPr>
        <w:t>myrtilli</w:t>
      </w:r>
      <w:proofErr w:type="spellEnd"/>
      <w:r>
        <w:t>. Fruit rot is another major problem in all US cranberry growing regions. This “disease complex” is associated with 10 to 15 pathogenic</w:t>
      </w:r>
      <w:r>
        <w:t xml:space="preserve"> fungal species, varying by year and location (Stiles and Oudemans 1999). Fungicides are the primary agents to target the fungal diseases, though integrated control </w:t>
      </w:r>
      <w:r>
        <w:lastRenderedPageBreak/>
        <w:t>strategies, such as sanding, improving drainage using tile, stones or installing ditches at</w:t>
      </w:r>
      <w:r>
        <w:t xml:space="preserve"> the appropriate depth is essential. Despite these control measures, fruit rot is an increasing problem in the US with yield losses due to fruit rot of 50 to 100% on new cultivars. Exacerbating this issue are the diminishing fungicide chemistries available</w:t>
      </w:r>
      <w:r>
        <w:t xml:space="preserve"> to manage the disease. Sources of fruit rot resistance and QTLs have been identified, however screening studies to evaluate germplasm performance are lacking. The continuum of host-pathogen interactions is not well understood for fruit rot. Due to the end</w:t>
      </w:r>
      <w:r>
        <w:t>ophytic nature of these fungi, the environment plays a key role in how infections develop and spread. Previous fruit rot breeding efforts have centered on host-pathogen interactions, but future studies should address the host genotype interactions with the</w:t>
      </w:r>
      <w:r>
        <w:t xml:space="preserve"> environment to evaluate stability. In the survey mentioned above, among 10 disease resistance traits, resistance to fruit rot was identified as the most important trait. Few commercially available varieties possess fruit rot </w:t>
      </w:r>
      <w:proofErr w:type="gramStart"/>
      <w:r>
        <w:t>resistance</w:t>
      </w:r>
      <w:proofErr w:type="gramEnd"/>
    </w:p>
    <w:p w14:paraId="451AECE0" w14:textId="77777777" w:rsidR="00B921EA" w:rsidRDefault="00BE3086">
      <w:pPr>
        <w:pBdr>
          <w:top w:val="nil"/>
          <w:left w:val="nil"/>
          <w:bottom w:val="nil"/>
          <w:right w:val="nil"/>
          <w:between w:val="nil"/>
        </w:pBdr>
        <w:rPr>
          <w:color w:val="000000"/>
        </w:rPr>
      </w:pPr>
      <w:hyperlink r:id="rId15">
        <w:r>
          <w:rPr>
            <w:color w:val="0000FF"/>
            <w:u w:val="single"/>
          </w:rPr>
          <w:t>http://journal.ashspublications.org/content/140/3/233.abstract</w:t>
        </w:r>
      </w:hyperlink>
    </w:p>
    <w:p w14:paraId="451AECE1" w14:textId="77777777" w:rsidR="00B921EA" w:rsidRDefault="00BE3086">
      <w:hyperlink r:id="rId16">
        <w:r>
          <w:rPr>
            <w:color w:val="0000FF"/>
            <w:u w:val="single"/>
          </w:rPr>
          <w:t>https://link.springer.com/article/10.1007/s11032-017-0639-3</w:t>
        </w:r>
      </w:hyperlink>
    </w:p>
    <w:p w14:paraId="451AECE2" w14:textId="77777777" w:rsidR="00B921EA" w:rsidRDefault="00BE3086">
      <w:pPr>
        <w:ind w:firstLine="720"/>
      </w:pPr>
      <w:bookmarkStart w:id="1" w:name="_heading=h.30j0zll" w:colFirst="0" w:colLast="0"/>
      <w:bookmarkEnd w:id="1"/>
      <w:r>
        <w:t>The acidic environment of a cranberry bed is not</w:t>
      </w:r>
      <w:r>
        <w:t xml:space="preserve"> hospitable to many bacterial pathogens. However, a subgroup 16SrIII-V phytoplasma associated with false blossom disease significantly affects cranberry yield (Lee et al., 2014). The phytoplasma is lethal to vines, reducing plant growth and yield, and has </w:t>
      </w:r>
      <w:r>
        <w:t>played a significant part in the development of cranberry cultivars (Caruso 2008).  The false blossom phytoplasma is vectored by leafhoppers, namely the blunt-nosed leafhopper (</w:t>
      </w:r>
      <w:proofErr w:type="spellStart"/>
      <w:r>
        <w:rPr>
          <w:i/>
          <w:color w:val="0A0A0A"/>
          <w:highlight w:val="white"/>
        </w:rPr>
        <w:t>Limotettix</w:t>
      </w:r>
      <w:proofErr w:type="spellEnd"/>
      <w:r>
        <w:rPr>
          <w:i/>
          <w:color w:val="0A0A0A"/>
          <w:highlight w:val="white"/>
        </w:rPr>
        <w:t xml:space="preserve"> </w:t>
      </w:r>
      <w:proofErr w:type="spellStart"/>
      <w:r>
        <w:rPr>
          <w:i/>
          <w:color w:val="0A0A0A"/>
          <w:highlight w:val="white"/>
        </w:rPr>
        <w:t>vaccinii</w:t>
      </w:r>
      <w:proofErr w:type="spellEnd"/>
      <w:r>
        <w:t>). The disease has been a problem since cranberries first be</w:t>
      </w:r>
      <w:r>
        <w:t>came cultivated in the early 1900s. The disease likely originated in Wisconsin but was transferred on planting material to New Jersey and Massachusetts. The disease had a significant impact on New Jersey cranberry production, sterilizing beds across the st</w:t>
      </w:r>
      <w:r>
        <w:t>ate leaving them unproductive. But despite the disease issue, researchers observed differential resistance by cultivar.  ‘</w:t>
      </w:r>
      <w:proofErr w:type="spellStart"/>
      <w:r>
        <w:t>McFarlain</w:t>
      </w:r>
      <w:proofErr w:type="spellEnd"/>
      <w:r>
        <w:t>’ and ‘Early Black’ were resistant, ‘Bennett Jumbo’ and ‘</w:t>
      </w:r>
      <w:proofErr w:type="spellStart"/>
      <w:r>
        <w:t>Vorse’s</w:t>
      </w:r>
      <w:proofErr w:type="spellEnd"/>
      <w:r>
        <w:t xml:space="preserve"> Pride’ had moderate infection, and ‘Bell’, ‘Berlin’, ‘Centen</w:t>
      </w:r>
      <w:r>
        <w:t>nial’, ‘Howes’, ‘Metallic Bell’, ‘</w:t>
      </w:r>
      <w:proofErr w:type="spellStart"/>
      <w:r>
        <w:t>Palmeter</w:t>
      </w:r>
      <w:proofErr w:type="spellEnd"/>
      <w:r>
        <w:t xml:space="preserve">’, ‘Prolific’, ‘Searles’, and ‘Wales Henry’ were susceptible. The resistance observed is hypothetically achieved due to the preference of the leafhopper to tissue of the different cultivars. In 1929, when the USDA </w:t>
      </w:r>
      <w:r>
        <w:t>initiated a cranberry breeding program, false blossom was considered a top priority. The cultivar ‘Stevens’ (derived from ‘</w:t>
      </w:r>
      <w:proofErr w:type="spellStart"/>
      <w:r>
        <w:t>McFarlind</w:t>
      </w:r>
      <w:proofErr w:type="spellEnd"/>
      <w:r>
        <w:t>’ X ‘Potter’) resulted from these efforts and became established across the US production regions offering growers good prod</w:t>
      </w:r>
      <w:r>
        <w:t xml:space="preserve">uction, good keeping quality, and false blossom resistance. ‘Stevens’ dominated the industry for many decades, and still does in states like Wisconsin. But with the development of newer hybrid varieties that favor agronomic traits such as yield and color, </w:t>
      </w:r>
      <w:r>
        <w:t>genetic resistance to cranberry false blossom (or its vector) is unknown in these varieties. Recent outbreaks of the phytoplasma and insect vector have significantly impacted the industry in New Jersey, and have since been identified in Massachusetts and W</w:t>
      </w:r>
      <w:r>
        <w:t xml:space="preserve">isconsin. </w:t>
      </w:r>
      <w:r>
        <w:br/>
      </w:r>
    </w:p>
    <w:p w14:paraId="451AECE3" w14:textId="77777777" w:rsidR="00B921EA" w:rsidRDefault="00BE3086">
      <w:pPr>
        <w:numPr>
          <w:ilvl w:val="2"/>
          <w:numId w:val="10"/>
        </w:numPr>
        <w:rPr>
          <w:b/>
        </w:rPr>
      </w:pPr>
      <w:r>
        <w:rPr>
          <w:b/>
        </w:rPr>
        <w:t>Insect and arthropod pests</w:t>
      </w:r>
      <w:r>
        <w:rPr>
          <w:b/>
          <w:u w:val="single"/>
        </w:rPr>
        <w:t xml:space="preserve"> </w:t>
      </w:r>
    </w:p>
    <w:p w14:paraId="451AECE4" w14:textId="77777777" w:rsidR="00B921EA" w:rsidRDefault="00BE3086">
      <w:r>
        <w:t xml:space="preserve">Insect pests include the black-headed </w:t>
      </w:r>
      <w:proofErr w:type="spellStart"/>
      <w:r>
        <w:t>fireworm</w:t>
      </w:r>
      <w:proofErr w:type="spellEnd"/>
      <w:r>
        <w:t xml:space="preserve"> </w:t>
      </w:r>
      <w:proofErr w:type="spellStart"/>
      <w:r>
        <w:rPr>
          <w:i/>
        </w:rPr>
        <w:t>Rhopobota</w:t>
      </w:r>
      <w:proofErr w:type="spellEnd"/>
      <w:r>
        <w:rPr>
          <w:i/>
        </w:rPr>
        <w:t xml:space="preserve"> </w:t>
      </w:r>
      <w:proofErr w:type="spellStart"/>
      <w:r>
        <w:rPr>
          <w:i/>
        </w:rPr>
        <w:t>naevana</w:t>
      </w:r>
      <w:proofErr w:type="spellEnd"/>
      <w:r>
        <w:rPr>
          <w:i/>
        </w:rPr>
        <w:t xml:space="preserve"> </w:t>
      </w:r>
      <w:r>
        <w:t>(</w:t>
      </w:r>
      <w:proofErr w:type="spellStart"/>
      <w:r>
        <w:t>Hübner</w:t>
      </w:r>
      <w:proofErr w:type="spellEnd"/>
      <w:r>
        <w:t xml:space="preserve">) Cranberry </w:t>
      </w:r>
      <w:proofErr w:type="spellStart"/>
      <w:r>
        <w:t>fruitworm</w:t>
      </w:r>
      <w:proofErr w:type="spellEnd"/>
      <w:r>
        <w:t xml:space="preserve"> (</w:t>
      </w:r>
      <w:proofErr w:type="spellStart"/>
      <w:r>
        <w:rPr>
          <w:i/>
        </w:rPr>
        <w:t>Acrobasis</w:t>
      </w:r>
      <w:proofErr w:type="spellEnd"/>
      <w:r>
        <w:rPr>
          <w:i/>
        </w:rPr>
        <w:t xml:space="preserve"> </w:t>
      </w:r>
      <w:proofErr w:type="spellStart"/>
      <w:r>
        <w:rPr>
          <w:i/>
        </w:rPr>
        <w:t>vaccinii</w:t>
      </w:r>
      <w:proofErr w:type="spellEnd"/>
      <w:r>
        <w:rPr>
          <w:i/>
        </w:rPr>
        <w:t xml:space="preserve"> </w:t>
      </w:r>
      <w:r>
        <w:t xml:space="preserve">Riley), </w:t>
      </w:r>
      <w:proofErr w:type="spellStart"/>
      <w:r>
        <w:t>Sparganothis</w:t>
      </w:r>
      <w:proofErr w:type="spellEnd"/>
      <w:r>
        <w:t xml:space="preserve"> </w:t>
      </w:r>
      <w:proofErr w:type="spellStart"/>
      <w:r>
        <w:t>fruitworm</w:t>
      </w:r>
      <w:proofErr w:type="spellEnd"/>
      <w:r>
        <w:t xml:space="preserve"> (</w:t>
      </w:r>
      <w:proofErr w:type="spellStart"/>
      <w:r>
        <w:rPr>
          <w:i/>
        </w:rPr>
        <w:t>Sparganothis</w:t>
      </w:r>
      <w:proofErr w:type="spellEnd"/>
      <w:r>
        <w:rPr>
          <w:i/>
        </w:rPr>
        <w:t xml:space="preserve"> </w:t>
      </w:r>
      <w:proofErr w:type="spellStart"/>
      <w:r>
        <w:rPr>
          <w:i/>
        </w:rPr>
        <w:t>sulfureana</w:t>
      </w:r>
      <w:proofErr w:type="spellEnd"/>
      <w:r>
        <w:rPr>
          <w:i/>
        </w:rPr>
        <w:t xml:space="preserve"> </w:t>
      </w:r>
      <w:r>
        <w:t>Clemens</w:t>
      </w:r>
      <w:r>
        <w:rPr>
          <w:b/>
        </w:rPr>
        <w:t>)</w:t>
      </w:r>
      <w:r>
        <w:t>, Cranberry weevils (</w:t>
      </w:r>
      <w:r>
        <w:rPr>
          <w:i/>
        </w:rPr>
        <w:t>Anthonomus muscul</w:t>
      </w:r>
      <w:r>
        <w:rPr>
          <w:i/>
        </w:rPr>
        <w:t xml:space="preserve">us </w:t>
      </w:r>
      <w:r>
        <w:t xml:space="preserve">Say), cutworms, and green and brown span worm. Cranberry beds are monitored using a sweep net and integrated pest management strategies are applied according to the catch. Flooding of the bog, pheromones, mating disruption, and chemicals that interfere </w:t>
      </w:r>
      <w:r>
        <w:t xml:space="preserve">with insect growth stages are applied. In the early 1900s, </w:t>
      </w:r>
      <w:r>
        <w:lastRenderedPageBreak/>
        <w:t xml:space="preserve">the blunt-nosed leafhopper was an early challenge for the newly started New Jersey cranberry industry. </w:t>
      </w:r>
    </w:p>
    <w:p w14:paraId="451AECE5" w14:textId="77777777" w:rsidR="00B921EA" w:rsidRDefault="00BE3086">
      <w:pPr>
        <w:ind w:firstLine="720"/>
      </w:pPr>
      <w:r>
        <w:t>This leafhopper vectored the phytoplasma that caused “</w:t>
      </w:r>
      <w:proofErr w:type="gramStart"/>
      <w:r>
        <w:t>false-blossom</w:t>
      </w:r>
      <w:proofErr w:type="gramEnd"/>
      <w:r>
        <w:t>” disease. Several US Depa</w:t>
      </w:r>
      <w:r>
        <w:t xml:space="preserve">rtment of Agriculture entomologists noticed differential feeding by the insect on different cultivars. The first breeding program was established with the goal of developing cultivars with blunt-nosed leafhopper resistance. Based on field observations and </w:t>
      </w:r>
      <w:r>
        <w:t xml:space="preserve">feeding preferences, </w:t>
      </w:r>
      <w:proofErr w:type="gramStart"/>
      <w:r>
        <w:t>Wilcox</w:t>
      </w:r>
      <w:proofErr w:type="gramEnd"/>
      <w:r>
        <w:t xml:space="preserve"> and Beckwith (1933) reported that ‘Early Black’ and ‘McFarlin’ were not preferred as compared with ‘Howes’. The cultivars ‘Plum, and ‘Shaw’s Success’ were also most resistant, while Bergman, ‘Franklin’, ‘Pilgrim’ and ‘Wilcox’ we</w:t>
      </w:r>
      <w:r>
        <w:t xml:space="preserve">re resistant (Dana 1983). To control this disease crosses were made using the resistant cultivars, to obtain resistant offspring. </w:t>
      </w:r>
      <w:proofErr w:type="gramStart"/>
      <w:r>
        <w:t>However</w:t>
      </w:r>
      <w:proofErr w:type="gramEnd"/>
      <w:r>
        <w:t xml:space="preserve"> a false-blossom’ resistant variety was not forth coming. It should be noted that as organo-</w:t>
      </w:r>
      <w:proofErr w:type="spellStart"/>
      <w:r>
        <w:t>phospahte</w:t>
      </w:r>
      <w:proofErr w:type="spellEnd"/>
      <w:r>
        <w:t xml:space="preserve"> insecticides are </w:t>
      </w:r>
      <w:r>
        <w:t xml:space="preserve">banned or restricted new insect threats have emerged, e.g., toad-bud, myriads, thrips. </w:t>
      </w:r>
    </w:p>
    <w:p w14:paraId="451AECE6" w14:textId="77777777" w:rsidR="00B921EA" w:rsidRDefault="00BE3086">
      <w:pPr>
        <w:ind w:firstLine="720"/>
      </w:pPr>
      <w:r>
        <w:t>In a 2017 survey, differences were observed in the importance of selected insect pest resistance traits. In New Jersey, respondents indicated that the most important pe</w:t>
      </w:r>
      <w:r>
        <w:t xml:space="preserve">st resistance trait was for blunt-nose leafhoppers, whereas in Wisconsin cranberry fruit worm, and in British Columbia, cranberry tip worm. </w:t>
      </w:r>
      <w:r>
        <w:br/>
      </w:r>
    </w:p>
    <w:p w14:paraId="451AECE7" w14:textId="77777777" w:rsidR="00B921EA" w:rsidRDefault="00BE3086">
      <w:pPr>
        <w:numPr>
          <w:ilvl w:val="2"/>
          <w:numId w:val="10"/>
        </w:numPr>
        <w:rPr>
          <w:b/>
        </w:rPr>
      </w:pPr>
      <w:r>
        <w:rPr>
          <w:b/>
          <w:color w:val="000000"/>
        </w:rPr>
        <w:t>Abiotic (environmental extremes, climate change)</w:t>
      </w:r>
    </w:p>
    <w:p w14:paraId="451AECE8" w14:textId="77777777" w:rsidR="00B921EA" w:rsidRDefault="00BE3086">
      <w:pPr>
        <w:pBdr>
          <w:top w:val="nil"/>
          <w:left w:val="nil"/>
          <w:bottom w:val="nil"/>
          <w:right w:val="nil"/>
          <w:between w:val="nil"/>
        </w:pBdr>
        <w:rPr>
          <w:color w:val="000000"/>
        </w:rPr>
      </w:pPr>
      <w:r>
        <w:rPr>
          <w:color w:val="000000"/>
        </w:rPr>
        <w:t>Abiotic</w:t>
      </w:r>
      <w:r>
        <w:rPr>
          <w:b/>
          <w:color w:val="000000"/>
        </w:rPr>
        <w:t xml:space="preserve"> </w:t>
      </w:r>
      <w:r>
        <w:rPr>
          <w:color w:val="000000"/>
        </w:rPr>
        <w:t>stresses are major environmental challenges that impact cranberry plant productivity. In the 2017 survey, North American cranberry production regions differed in the ranking of abiotic stress traits (Gallardo et al.). In New Jersey, heat stress was selecte</w:t>
      </w:r>
      <w:r>
        <w:rPr>
          <w:color w:val="000000"/>
        </w:rPr>
        <w:t>d as the most important abiotic stress trait, while in Wisconsin and British Columbia fall and spring frost tolerance was most important.</w:t>
      </w:r>
      <w:r>
        <w:rPr>
          <w:color w:val="000000"/>
        </w:rPr>
        <w:br/>
      </w:r>
    </w:p>
    <w:p w14:paraId="451AECE9" w14:textId="77777777" w:rsidR="00B921EA" w:rsidRDefault="00BE3086">
      <w:pPr>
        <w:numPr>
          <w:ilvl w:val="2"/>
          <w:numId w:val="10"/>
        </w:numPr>
        <w:rPr>
          <w:b/>
        </w:rPr>
      </w:pPr>
      <w:r>
        <w:rPr>
          <w:b/>
        </w:rPr>
        <w:t>Production/demand (inability to meet market and population growth demands)</w:t>
      </w:r>
    </w:p>
    <w:p w14:paraId="451AECEA" w14:textId="77777777" w:rsidR="00B921EA" w:rsidRDefault="00BE3086">
      <w:pPr>
        <w:pBdr>
          <w:top w:val="nil"/>
          <w:left w:val="nil"/>
          <w:bottom w:val="nil"/>
          <w:right w:val="nil"/>
          <w:between w:val="nil"/>
        </w:pBdr>
        <w:rPr>
          <w:color w:val="000000"/>
        </w:rPr>
      </w:pPr>
      <w:r>
        <w:rPr>
          <w:color w:val="000000"/>
        </w:rPr>
        <w:t>While cranberries used to be produced only</w:t>
      </w:r>
      <w:r>
        <w:rPr>
          <w:color w:val="000000"/>
        </w:rPr>
        <w:t xml:space="preserve"> for fresh use and sauces, then a product line of juices were developed. Higher amounts of fruit production encouraged innovative development of products. Cranberry product lines include juice, sweetened-dried-fruit, sauces, fresh fruit, nutraceutical powd</w:t>
      </w:r>
      <w:r>
        <w:rPr>
          <w:color w:val="000000"/>
        </w:rPr>
        <w:t xml:space="preserve">ers, and other miscellaneous forms. </w:t>
      </w:r>
    </w:p>
    <w:p w14:paraId="451AECEB" w14:textId="77777777" w:rsidR="00B921EA" w:rsidRDefault="00BE3086">
      <w:pPr>
        <w:pBdr>
          <w:top w:val="nil"/>
          <w:left w:val="nil"/>
          <w:bottom w:val="nil"/>
          <w:right w:val="nil"/>
          <w:between w:val="nil"/>
        </w:pBdr>
        <w:ind w:firstLine="720"/>
        <w:rPr>
          <w:color w:val="000000"/>
        </w:rPr>
      </w:pPr>
      <w:r>
        <w:rPr>
          <w:color w:val="000000"/>
        </w:rPr>
        <w:t>Processed cranberry product sales have been increasing over the past three decades and as of 2017 require &gt; 9 million barrels of fruit. Unfortunately, over those decades there has been an increasing overproduction of fr</w:t>
      </w:r>
      <w:r>
        <w:rPr>
          <w:color w:val="000000"/>
        </w:rPr>
        <w:t xml:space="preserve">uit (oversupply) compared with the product sales (demand) which has kept price return for growers low. </w:t>
      </w:r>
    </w:p>
    <w:p w14:paraId="451AECEC" w14:textId="77777777" w:rsidR="00B921EA" w:rsidRDefault="00BE3086">
      <w:pPr>
        <w:pBdr>
          <w:top w:val="nil"/>
          <w:left w:val="nil"/>
          <w:bottom w:val="nil"/>
          <w:right w:val="nil"/>
          <w:between w:val="nil"/>
        </w:pBdr>
        <w:ind w:firstLine="720"/>
        <w:rPr>
          <w:color w:val="000000"/>
        </w:rPr>
      </w:pPr>
      <w:r>
        <w:rPr>
          <w:color w:val="000000"/>
        </w:rPr>
        <w:t xml:space="preserve">As mentioned above, a </w:t>
      </w:r>
      <w:proofErr w:type="spellStart"/>
      <w:r>
        <w:rPr>
          <w:color w:val="000000"/>
        </w:rPr>
        <w:t>renced</w:t>
      </w:r>
      <w:proofErr w:type="spellEnd"/>
      <w:r>
        <w:rPr>
          <w:color w:val="000000"/>
        </w:rPr>
        <w:t xml:space="preserve"> </w:t>
      </w:r>
      <w:proofErr w:type="spellStart"/>
      <w:r>
        <w:rPr>
          <w:color w:val="000000"/>
        </w:rPr>
        <w:t>breedind</w:t>
      </w:r>
      <w:proofErr w:type="spellEnd"/>
      <w:r>
        <w:rPr>
          <w:color w:val="000000"/>
        </w:rPr>
        <w:t xml:space="preserve"> trait survey indicated that improving fruit quality is a primary need for cranberry industry. The most important f</w:t>
      </w:r>
      <w:r>
        <w:rPr>
          <w:color w:val="000000"/>
        </w:rPr>
        <w:t xml:space="preserve">ruit quality trait </w:t>
      </w:r>
      <w:proofErr w:type="spellStart"/>
      <w:r>
        <w:rPr>
          <w:color w:val="000000"/>
        </w:rPr>
        <w:t>indetified</w:t>
      </w:r>
      <w:proofErr w:type="spellEnd"/>
      <w:r>
        <w:rPr>
          <w:color w:val="000000"/>
        </w:rPr>
        <w:t xml:space="preserve"> in this survey were: fruit firmness, fruit size and color. These traits that can affect price premiums the grower receives, can positively drive consumer demand, and improve processing handling, which are all critical factors </w:t>
      </w:r>
      <w:r>
        <w:rPr>
          <w:color w:val="000000"/>
        </w:rPr>
        <w:t xml:space="preserve">to the economic viability of the cranberry industry. </w:t>
      </w:r>
    </w:p>
    <w:p w14:paraId="451AECED" w14:textId="77777777" w:rsidR="00B921EA" w:rsidRDefault="00B921EA">
      <w:pPr>
        <w:rPr>
          <w:b/>
        </w:rPr>
      </w:pPr>
    </w:p>
    <w:p w14:paraId="451AECEE" w14:textId="77777777" w:rsidR="00B921EA" w:rsidRDefault="00BE3086">
      <w:pPr>
        <w:numPr>
          <w:ilvl w:val="2"/>
          <w:numId w:val="10"/>
        </w:numPr>
        <w:rPr>
          <w:b/>
        </w:rPr>
      </w:pPr>
      <w:r>
        <w:rPr>
          <w:b/>
        </w:rPr>
        <w:t>Dietary key nutritional requirements)</w:t>
      </w:r>
    </w:p>
    <w:p w14:paraId="451AECEF" w14:textId="77777777" w:rsidR="00B921EA" w:rsidRDefault="00BE3086">
      <w:r>
        <w:t>The North American cranberry has multiple health benefits linked to phytochemicals in the fruit.</w:t>
      </w:r>
      <w:r>
        <w:rPr>
          <w:vertAlign w:val="superscript"/>
        </w:rPr>
        <w:t xml:space="preserve"> </w:t>
      </w:r>
      <w:r>
        <w:t>Cranberry juice is consumed for the prevention of</w:t>
      </w:r>
      <w:r>
        <w:rPr>
          <w:vertAlign w:val="superscript"/>
        </w:rPr>
        <w:t xml:space="preserve"> </w:t>
      </w:r>
      <w:r>
        <w:t xml:space="preserve">urinary tract infections (Vorsa et al. 2002). This property is linked with the ability of </w:t>
      </w:r>
      <w:proofErr w:type="spellStart"/>
      <w:r>
        <w:t>proanthocyanidins</w:t>
      </w:r>
      <w:proofErr w:type="spellEnd"/>
      <w:r>
        <w:t xml:space="preserve"> t</w:t>
      </w:r>
      <w:r>
        <w:t>o inhibit adhesion</w:t>
      </w:r>
      <w:r>
        <w:rPr>
          <w:vertAlign w:val="superscript"/>
        </w:rPr>
        <w:t xml:space="preserve"> </w:t>
      </w:r>
      <w:r>
        <w:t xml:space="preserve">of </w:t>
      </w:r>
      <w:proofErr w:type="spellStart"/>
      <w:r>
        <w:t>uro</w:t>
      </w:r>
      <w:proofErr w:type="spellEnd"/>
      <w:r>
        <w:t xml:space="preserve">-pathogenic P-fimbriated </w:t>
      </w:r>
      <w:r>
        <w:rPr>
          <w:i/>
        </w:rPr>
        <w:t>E. coli</w:t>
      </w:r>
      <w:r>
        <w:t xml:space="preserve"> bacteria responsible for these infections. </w:t>
      </w:r>
    </w:p>
    <w:p w14:paraId="451AECF0" w14:textId="77777777" w:rsidR="00B921EA" w:rsidRDefault="00BE3086">
      <w:pPr>
        <w:ind w:firstLine="720"/>
        <w:rPr>
          <w:highlight w:val="yellow"/>
        </w:rPr>
      </w:pPr>
      <w:r>
        <w:lastRenderedPageBreak/>
        <w:t>Cranberry flavonoid extract has been shown to ameliorate metabolic syndrome molecular status, a precursor stage to diabetes II, through adiponectin modula</w:t>
      </w:r>
      <w:r>
        <w:t>tion in a rat model (</w:t>
      </w:r>
      <w:proofErr w:type="spellStart"/>
      <w:r>
        <w:t>Shabrova</w:t>
      </w:r>
      <w:proofErr w:type="spellEnd"/>
      <w:r>
        <w:t xml:space="preserve"> et al 2012). Cranberry </w:t>
      </w:r>
      <w:proofErr w:type="spellStart"/>
      <w:r>
        <w:t>proanthocyanidins</w:t>
      </w:r>
      <w:proofErr w:type="spellEnd"/>
      <w:r>
        <w:t xml:space="preserve"> are active against dental caries </w:t>
      </w:r>
      <w:r>
        <w:rPr>
          <w:i/>
        </w:rPr>
        <w:t xml:space="preserve">Streptococcus mutans </w:t>
      </w:r>
      <w:r>
        <w:t>(</w:t>
      </w:r>
      <w:proofErr w:type="spellStart"/>
      <w:r>
        <w:t>Dongyeop</w:t>
      </w:r>
      <w:proofErr w:type="spellEnd"/>
      <w:r>
        <w:t xml:space="preserve"> et al. 2015, Koo et al. 2010). Additional studies have found that cranberry constituents also inhibit adhesion of a major</w:t>
      </w:r>
      <w:r>
        <w:t xml:space="preserve"> cause of gastric cancer.</w:t>
      </w:r>
      <w:r>
        <w:rPr>
          <w:vertAlign w:val="superscript"/>
        </w:rPr>
        <w:t xml:space="preserve"> </w:t>
      </w:r>
      <w:r>
        <w:t>Emerging evidence suggests that cranberry phytochemicals (particularly</w:t>
      </w:r>
      <w:r>
        <w:rPr>
          <w:vertAlign w:val="superscript"/>
        </w:rPr>
        <w:t xml:space="preserve"> </w:t>
      </w:r>
      <w:proofErr w:type="spellStart"/>
      <w:r>
        <w:t>proanthocyanidins</w:t>
      </w:r>
      <w:proofErr w:type="spellEnd"/>
      <w:r>
        <w:t xml:space="preserve">, quercetin, and </w:t>
      </w:r>
      <w:proofErr w:type="spellStart"/>
      <w:r>
        <w:t>ursolic</w:t>
      </w:r>
      <w:proofErr w:type="spellEnd"/>
      <w:r>
        <w:t xml:space="preserve"> acid) have a mitigating effect on other types of cancers as well and could be a dietary chemoprotective (Wang et al. </w:t>
      </w:r>
      <w:r>
        <w:t>2015).</w:t>
      </w:r>
    </w:p>
    <w:p w14:paraId="451AECF1" w14:textId="77777777" w:rsidR="00B921EA" w:rsidRDefault="00BE3086">
      <w:pPr>
        <w:rPr>
          <w:b/>
        </w:rPr>
      </w:pPr>
      <w:r>
        <w:br w:type="page"/>
      </w:r>
    </w:p>
    <w:p w14:paraId="451AECF2" w14:textId="77777777" w:rsidR="00B921EA" w:rsidRDefault="00B921EA">
      <w:pPr>
        <w:rPr>
          <w:b/>
        </w:rPr>
      </w:pPr>
    </w:p>
    <w:tbl>
      <w:tblPr>
        <w:tblStyle w:val="a"/>
        <w:tblW w:w="6089" w:type="dxa"/>
        <w:tblLayout w:type="fixed"/>
        <w:tblLook w:val="0400" w:firstRow="0" w:lastRow="0" w:firstColumn="0" w:lastColumn="0" w:noHBand="0" w:noVBand="1"/>
      </w:tblPr>
      <w:tblGrid>
        <w:gridCol w:w="3387"/>
        <w:gridCol w:w="670"/>
        <w:gridCol w:w="2032"/>
      </w:tblGrid>
      <w:tr w:rsidR="00B921EA" w14:paraId="451AECF4" w14:textId="77777777">
        <w:trPr>
          <w:trHeight w:val="375"/>
        </w:trPr>
        <w:tc>
          <w:tcPr>
            <w:tcW w:w="6089" w:type="dxa"/>
            <w:gridSpan w:val="3"/>
            <w:tcBorders>
              <w:top w:val="nil"/>
              <w:left w:val="nil"/>
              <w:bottom w:val="single" w:sz="4" w:space="0" w:color="000000"/>
              <w:right w:val="nil"/>
            </w:tcBorders>
            <w:shd w:val="clear" w:color="auto" w:fill="auto"/>
            <w:vAlign w:val="bottom"/>
          </w:tcPr>
          <w:p w14:paraId="451AECF3" w14:textId="77777777" w:rsidR="00B921EA" w:rsidRDefault="00BE3086">
            <w:pPr>
              <w:rPr>
                <w:b/>
                <w:color w:val="000000"/>
                <w:sz w:val="28"/>
                <w:szCs w:val="28"/>
              </w:rPr>
            </w:pPr>
            <w:r>
              <w:rPr>
                <w:b/>
                <w:color w:val="000000"/>
                <w:sz w:val="28"/>
                <w:szCs w:val="28"/>
              </w:rPr>
              <w:t xml:space="preserve">Fig. 2.3.4.1 Key Dietary nutritional compounds in cranberry </w:t>
            </w:r>
          </w:p>
        </w:tc>
      </w:tr>
      <w:tr w:rsidR="00B921EA" w14:paraId="451AECF8" w14:textId="77777777">
        <w:trPr>
          <w:trHeight w:val="300"/>
        </w:trPr>
        <w:tc>
          <w:tcPr>
            <w:tcW w:w="3387" w:type="dxa"/>
            <w:tcBorders>
              <w:top w:val="single" w:sz="4" w:space="0" w:color="000000"/>
              <w:left w:val="single" w:sz="4" w:space="0" w:color="000000"/>
              <w:bottom w:val="nil"/>
              <w:right w:val="nil"/>
            </w:tcBorders>
            <w:shd w:val="clear" w:color="auto" w:fill="548235"/>
            <w:vAlign w:val="bottom"/>
          </w:tcPr>
          <w:p w14:paraId="451AECF5" w14:textId="77777777" w:rsidR="00B921EA" w:rsidRDefault="00BE3086">
            <w:pPr>
              <w:rPr>
                <w:b/>
                <w:color w:val="FFFFFF"/>
              </w:rPr>
            </w:pPr>
            <w:r>
              <w:rPr>
                <w:b/>
                <w:color w:val="FFFFFF"/>
              </w:rPr>
              <w:t>Nutrient</w:t>
            </w:r>
          </w:p>
        </w:tc>
        <w:tc>
          <w:tcPr>
            <w:tcW w:w="670" w:type="dxa"/>
            <w:tcBorders>
              <w:top w:val="single" w:sz="4" w:space="0" w:color="000000"/>
              <w:left w:val="single" w:sz="4" w:space="0" w:color="FFFFFF"/>
              <w:bottom w:val="nil"/>
              <w:right w:val="nil"/>
            </w:tcBorders>
            <w:shd w:val="clear" w:color="auto" w:fill="548235"/>
            <w:vAlign w:val="bottom"/>
          </w:tcPr>
          <w:p w14:paraId="451AECF6" w14:textId="77777777" w:rsidR="00B921EA" w:rsidRDefault="00BE3086">
            <w:pPr>
              <w:rPr>
                <w:b/>
                <w:color w:val="FFFFFF"/>
              </w:rPr>
            </w:pPr>
            <w:r>
              <w:rPr>
                <w:b/>
                <w:color w:val="FFFFFF"/>
              </w:rPr>
              <w:t>Unit</w:t>
            </w:r>
          </w:p>
        </w:tc>
        <w:tc>
          <w:tcPr>
            <w:tcW w:w="2032" w:type="dxa"/>
            <w:tcBorders>
              <w:top w:val="single" w:sz="4" w:space="0" w:color="000000"/>
              <w:left w:val="single" w:sz="4" w:space="0" w:color="FFFFFF"/>
              <w:bottom w:val="nil"/>
              <w:right w:val="nil"/>
            </w:tcBorders>
            <w:shd w:val="clear" w:color="auto" w:fill="548235"/>
            <w:vAlign w:val="bottom"/>
          </w:tcPr>
          <w:p w14:paraId="451AECF7" w14:textId="77777777" w:rsidR="00B921EA" w:rsidRDefault="00BE3086">
            <w:pPr>
              <w:rPr>
                <w:b/>
                <w:color w:val="FFFFFF"/>
              </w:rPr>
            </w:pPr>
            <w:r>
              <w:rPr>
                <w:b/>
                <w:color w:val="FFFFFF"/>
              </w:rPr>
              <w:t>Value per 100 g</w:t>
            </w:r>
          </w:p>
        </w:tc>
      </w:tr>
      <w:tr w:rsidR="00B921EA" w14:paraId="451AECFA" w14:textId="77777777">
        <w:trPr>
          <w:trHeight w:val="322"/>
        </w:trPr>
        <w:tc>
          <w:tcPr>
            <w:tcW w:w="6089" w:type="dxa"/>
            <w:gridSpan w:val="3"/>
            <w:vMerge w:val="restart"/>
            <w:tcBorders>
              <w:top w:val="nil"/>
              <w:left w:val="nil"/>
              <w:bottom w:val="nil"/>
              <w:right w:val="nil"/>
            </w:tcBorders>
            <w:shd w:val="clear" w:color="auto" w:fill="D9D9D9"/>
            <w:vAlign w:val="bottom"/>
          </w:tcPr>
          <w:p w14:paraId="451AECF9" w14:textId="77777777" w:rsidR="00B921EA" w:rsidRDefault="00BE3086">
            <w:pPr>
              <w:rPr>
                <w:b/>
                <w:color w:val="000000"/>
                <w:sz w:val="28"/>
                <w:szCs w:val="28"/>
              </w:rPr>
            </w:pPr>
            <w:proofErr w:type="spellStart"/>
            <w:r>
              <w:rPr>
                <w:b/>
                <w:color w:val="000000"/>
                <w:sz w:val="28"/>
                <w:szCs w:val="28"/>
              </w:rPr>
              <w:t>Proximates</w:t>
            </w:r>
            <w:proofErr w:type="spellEnd"/>
          </w:p>
        </w:tc>
      </w:tr>
      <w:tr w:rsidR="00B921EA" w14:paraId="451AECFC" w14:textId="77777777">
        <w:trPr>
          <w:trHeight w:val="370"/>
        </w:trPr>
        <w:tc>
          <w:tcPr>
            <w:tcW w:w="6089" w:type="dxa"/>
            <w:gridSpan w:val="3"/>
            <w:vMerge/>
            <w:tcBorders>
              <w:top w:val="nil"/>
              <w:left w:val="nil"/>
              <w:bottom w:val="nil"/>
              <w:right w:val="nil"/>
            </w:tcBorders>
            <w:shd w:val="clear" w:color="auto" w:fill="D9D9D9"/>
            <w:vAlign w:val="bottom"/>
          </w:tcPr>
          <w:p w14:paraId="451AECFB" w14:textId="77777777" w:rsidR="00B921EA" w:rsidRDefault="00B921EA">
            <w:pPr>
              <w:widowControl w:val="0"/>
              <w:pBdr>
                <w:top w:val="nil"/>
                <w:left w:val="nil"/>
                <w:bottom w:val="nil"/>
                <w:right w:val="nil"/>
                <w:between w:val="nil"/>
              </w:pBdr>
              <w:spacing w:line="276" w:lineRule="auto"/>
              <w:rPr>
                <w:b/>
                <w:color w:val="000000"/>
                <w:sz w:val="28"/>
                <w:szCs w:val="28"/>
              </w:rPr>
            </w:pPr>
          </w:p>
        </w:tc>
      </w:tr>
      <w:tr w:rsidR="00B921EA" w14:paraId="451AED00" w14:textId="77777777">
        <w:trPr>
          <w:trHeight w:val="300"/>
        </w:trPr>
        <w:tc>
          <w:tcPr>
            <w:tcW w:w="3387" w:type="dxa"/>
            <w:tcBorders>
              <w:top w:val="nil"/>
              <w:left w:val="nil"/>
              <w:bottom w:val="nil"/>
              <w:right w:val="nil"/>
            </w:tcBorders>
            <w:shd w:val="clear" w:color="auto" w:fill="auto"/>
            <w:vAlign w:val="bottom"/>
          </w:tcPr>
          <w:p w14:paraId="451AECFD" w14:textId="77777777" w:rsidR="00B921EA" w:rsidRDefault="00BE3086">
            <w:pPr>
              <w:rPr>
                <w:color w:val="000000"/>
              </w:rPr>
            </w:pPr>
            <w:r>
              <w:rPr>
                <w:color w:val="000000"/>
              </w:rPr>
              <w:t>Water</w:t>
            </w:r>
          </w:p>
        </w:tc>
        <w:tc>
          <w:tcPr>
            <w:tcW w:w="670" w:type="dxa"/>
            <w:tcBorders>
              <w:top w:val="nil"/>
              <w:left w:val="nil"/>
              <w:bottom w:val="nil"/>
              <w:right w:val="nil"/>
            </w:tcBorders>
            <w:shd w:val="clear" w:color="auto" w:fill="auto"/>
            <w:vAlign w:val="bottom"/>
          </w:tcPr>
          <w:p w14:paraId="451AECFE" w14:textId="77777777" w:rsidR="00B921EA" w:rsidRDefault="00BE3086">
            <w:pPr>
              <w:rPr>
                <w:color w:val="000000"/>
              </w:rPr>
            </w:pPr>
            <w:r>
              <w:rPr>
                <w:color w:val="000000"/>
              </w:rPr>
              <w:t>g</w:t>
            </w:r>
          </w:p>
        </w:tc>
        <w:tc>
          <w:tcPr>
            <w:tcW w:w="2032" w:type="dxa"/>
            <w:tcBorders>
              <w:top w:val="nil"/>
              <w:left w:val="nil"/>
              <w:bottom w:val="nil"/>
              <w:right w:val="nil"/>
            </w:tcBorders>
            <w:shd w:val="clear" w:color="auto" w:fill="auto"/>
            <w:vAlign w:val="bottom"/>
          </w:tcPr>
          <w:p w14:paraId="451AECFF" w14:textId="77777777" w:rsidR="00B921EA" w:rsidRDefault="00BE3086">
            <w:pPr>
              <w:rPr>
                <w:color w:val="000000"/>
              </w:rPr>
            </w:pPr>
            <w:r>
              <w:rPr>
                <w:color w:val="000000"/>
              </w:rPr>
              <w:t>87.32</w:t>
            </w:r>
          </w:p>
        </w:tc>
      </w:tr>
      <w:tr w:rsidR="00B921EA" w14:paraId="451AED04" w14:textId="77777777">
        <w:trPr>
          <w:trHeight w:val="300"/>
        </w:trPr>
        <w:tc>
          <w:tcPr>
            <w:tcW w:w="3387" w:type="dxa"/>
            <w:tcBorders>
              <w:top w:val="nil"/>
              <w:left w:val="nil"/>
              <w:bottom w:val="nil"/>
              <w:right w:val="nil"/>
            </w:tcBorders>
            <w:shd w:val="clear" w:color="auto" w:fill="auto"/>
            <w:vAlign w:val="bottom"/>
          </w:tcPr>
          <w:p w14:paraId="451AED01" w14:textId="77777777" w:rsidR="00B921EA" w:rsidRDefault="00BE3086">
            <w:pPr>
              <w:rPr>
                <w:color w:val="000000"/>
              </w:rPr>
            </w:pPr>
            <w:r>
              <w:rPr>
                <w:color w:val="000000"/>
              </w:rPr>
              <w:t>Energy</w:t>
            </w:r>
          </w:p>
        </w:tc>
        <w:tc>
          <w:tcPr>
            <w:tcW w:w="670" w:type="dxa"/>
            <w:tcBorders>
              <w:top w:val="nil"/>
              <w:left w:val="nil"/>
              <w:bottom w:val="nil"/>
              <w:right w:val="nil"/>
            </w:tcBorders>
            <w:shd w:val="clear" w:color="auto" w:fill="auto"/>
            <w:vAlign w:val="bottom"/>
          </w:tcPr>
          <w:p w14:paraId="451AED02" w14:textId="77777777" w:rsidR="00B921EA" w:rsidRDefault="00BE3086">
            <w:pPr>
              <w:rPr>
                <w:color w:val="000000"/>
              </w:rPr>
            </w:pPr>
            <w:r>
              <w:rPr>
                <w:color w:val="000000"/>
              </w:rPr>
              <w:t>kcal</w:t>
            </w:r>
          </w:p>
        </w:tc>
        <w:tc>
          <w:tcPr>
            <w:tcW w:w="2032" w:type="dxa"/>
            <w:tcBorders>
              <w:top w:val="nil"/>
              <w:left w:val="nil"/>
              <w:bottom w:val="nil"/>
              <w:right w:val="nil"/>
            </w:tcBorders>
            <w:shd w:val="clear" w:color="auto" w:fill="auto"/>
            <w:vAlign w:val="bottom"/>
          </w:tcPr>
          <w:p w14:paraId="451AED03" w14:textId="77777777" w:rsidR="00B921EA" w:rsidRDefault="00BE3086">
            <w:pPr>
              <w:rPr>
                <w:color w:val="000000"/>
              </w:rPr>
            </w:pPr>
            <w:r>
              <w:rPr>
                <w:color w:val="000000"/>
              </w:rPr>
              <w:t>46</w:t>
            </w:r>
          </w:p>
        </w:tc>
      </w:tr>
      <w:tr w:rsidR="00B921EA" w14:paraId="451AED08" w14:textId="77777777">
        <w:trPr>
          <w:trHeight w:val="300"/>
        </w:trPr>
        <w:tc>
          <w:tcPr>
            <w:tcW w:w="3387" w:type="dxa"/>
            <w:tcBorders>
              <w:top w:val="nil"/>
              <w:left w:val="nil"/>
              <w:bottom w:val="nil"/>
              <w:right w:val="nil"/>
            </w:tcBorders>
            <w:shd w:val="clear" w:color="auto" w:fill="auto"/>
            <w:vAlign w:val="bottom"/>
          </w:tcPr>
          <w:p w14:paraId="451AED05" w14:textId="77777777" w:rsidR="00B921EA" w:rsidRDefault="00BE3086">
            <w:pPr>
              <w:rPr>
                <w:color w:val="000000"/>
              </w:rPr>
            </w:pPr>
            <w:r>
              <w:rPr>
                <w:color w:val="000000"/>
              </w:rPr>
              <w:t>Protein</w:t>
            </w:r>
          </w:p>
        </w:tc>
        <w:tc>
          <w:tcPr>
            <w:tcW w:w="670" w:type="dxa"/>
            <w:tcBorders>
              <w:top w:val="nil"/>
              <w:left w:val="nil"/>
              <w:bottom w:val="nil"/>
              <w:right w:val="nil"/>
            </w:tcBorders>
            <w:shd w:val="clear" w:color="auto" w:fill="auto"/>
            <w:vAlign w:val="bottom"/>
          </w:tcPr>
          <w:p w14:paraId="451AED06" w14:textId="77777777" w:rsidR="00B921EA" w:rsidRDefault="00BE3086">
            <w:pPr>
              <w:rPr>
                <w:color w:val="000000"/>
              </w:rPr>
            </w:pPr>
            <w:r>
              <w:rPr>
                <w:color w:val="000000"/>
              </w:rPr>
              <w:t>g</w:t>
            </w:r>
          </w:p>
        </w:tc>
        <w:tc>
          <w:tcPr>
            <w:tcW w:w="2032" w:type="dxa"/>
            <w:tcBorders>
              <w:top w:val="nil"/>
              <w:left w:val="nil"/>
              <w:bottom w:val="nil"/>
              <w:right w:val="nil"/>
            </w:tcBorders>
            <w:shd w:val="clear" w:color="auto" w:fill="auto"/>
            <w:vAlign w:val="bottom"/>
          </w:tcPr>
          <w:p w14:paraId="451AED07" w14:textId="77777777" w:rsidR="00B921EA" w:rsidRDefault="00BE3086">
            <w:pPr>
              <w:rPr>
                <w:color w:val="000000"/>
              </w:rPr>
            </w:pPr>
            <w:r>
              <w:rPr>
                <w:color w:val="000000"/>
              </w:rPr>
              <w:t>0.46</w:t>
            </w:r>
          </w:p>
        </w:tc>
      </w:tr>
      <w:tr w:rsidR="00B921EA" w14:paraId="451AED0C" w14:textId="77777777">
        <w:trPr>
          <w:trHeight w:val="300"/>
        </w:trPr>
        <w:tc>
          <w:tcPr>
            <w:tcW w:w="3387" w:type="dxa"/>
            <w:tcBorders>
              <w:top w:val="nil"/>
              <w:left w:val="nil"/>
              <w:bottom w:val="nil"/>
              <w:right w:val="nil"/>
            </w:tcBorders>
            <w:shd w:val="clear" w:color="auto" w:fill="auto"/>
            <w:vAlign w:val="bottom"/>
          </w:tcPr>
          <w:p w14:paraId="451AED09" w14:textId="77777777" w:rsidR="00B921EA" w:rsidRDefault="00BE3086">
            <w:pPr>
              <w:rPr>
                <w:color w:val="000000"/>
              </w:rPr>
            </w:pPr>
            <w:r>
              <w:rPr>
                <w:color w:val="000000"/>
              </w:rPr>
              <w:t>Total Lipid (fat)</w:t>
            </w:r>
          </w:p>
        </w:tc>
        <w:tc>
          <w:tcPr>
            <w:tcW w:w="670" w:type="dxa"/>
            <w:tcBorders>
              <w:top w:val="nil"/>
              <w:left w:val="nil"/>
              <w:bottom w:val="nil"/>
              <w:right w:val="nil"/>
            </w:tcBorders>
            <w:shd w:val="clear" w:color="auto" w:fill="auto"/>
            <w:vAlign w:val="bottom"/>
          </w:tcPr>
          <w:p w14:paraId="451AED0A" w14:textId="77777777" w:rsidR="00B921EA" w:rsidRDefault="00BE3086">
            <w:pPr>
              <w:rPr>
                <w:color w:val="000000"/>
              </w:rPr>
            </w:pPr>
            <w:r>
              <w:rPr>
                <w:color w:val="000000"/>
              </w:rPr>
              <w:t>g</w:t>
            </w:r>
          </w:p>
        </w:tc>
        <w:tc>
          <w:tcPr>
            <w:tcW w:w="2032" w:type="dxa"/>
            <w:tcBorders>
              <w:top w:val="nil"/>
              <w:left w:val="nil"/>
              <w:bottom w:val="nil"/>
              <w:right w:val="nil"/>
            </w:tcBorders>
            <w:shd w:val="clear" w:color="auto" w:fill="auto"/>
            <w:vAlign w:val="bottom"/>
          </w:tcPr>
          <w:p w14:paraId="451AED0B" w14:textId="77777777" w:rsidR="00B921EA" w:rsidRDefault="00BE3086">
            <w:pPr>
              <w:rPr>
                <w:color w:val="000000"/>
              </w:rPr>
            </w:pPr>
            <w:r>
              <w:rPr>
                <w:color w:val="000000"/>
              </w:rPr>
              <w:t>0.13</w:t>
            </w:r>
          </w:p>
        </w:tc>
      </w:tr>
      <w:tr w:rsidR="00B921EA" w14:paraId="451AED10" w14:textId="77777777">
        <w:trPr>
          <w:trHeight w:val="300"/>
        </w:trPr>
        <w:tc>
          <w:tcPr>
            <w:tcW w:w="3387" w:type="dxa"/>
            <w:tcBorders>
              <w:top w:val="nil"/>
              <w:left w:val="nil"/>
              <w:bottom w:val="nil"/>
              <w:right w:val="nil"/>
            </w:tcBorders>
            <w:shd w:val="clear" w:color="auto" w:fill="auto"/>
            <w:vAlign w:val="bottom"/>
          </w:tcPr>
          <w:p w14:paraId="451AED0D" w14:textId="77777777" w:rsidR="00B921EA" w:rsidRDefault="00BE3086">
            <w:pPr>
              <w:rPr>
                <w:color w:val="000000"/>
              </w:rPr>
            </w:pPr>
            <w:r>
              <w:rPr>
                <w:color w:val="000000"/>
              </w:rPr>
              <w:t>Carbohydrate, by difference</w:t>
            </w:r>
          </w:p>
        </w:tc>
        <w:tc>
          <w:tcPr>
            <w:tcW w:w="670" w:type="dxa"/>
            <w:tcBorders>
              <w:top w:val="nil"/>
              <w:left w:val="nil"/>
              <w:bottom w:val="nil"/>
              <w:right w:val="nil"/>
            </w:tcBorders>
            <w:shd w:val="clear" w:color="auto" w:fill="auto"/>
            <w:vAlign w:val="bottom"/>
          </w:tcPr>
          <w:p w14:paraId="451AED0E" w14:textId="77777777" w:rsidR="00B921EA" w:rsidRDefault="00BE3086">
            <w:pPr>
              <w:rPr>
                <w:color w:val="000000"/>
              </w:rPr>
            </w:pPr>
            <w:r>
              <w:rPr>
                <w:color w:val="000000"/>
              </w:rPr>
              <w:t>g</w:t>
            </w:r>
          </w:p>
        </w:tc>
        <w:tc>
          <w:tcPr>
            <w:tcW w:w="2032" w:type="dxa"/>
            <w:tcBorders>
              <w:top w:val="nil"/>
              <w:left w:val="nil"/>
              <w:bottom w:val="nil"/>
              <w:right w:val="nil"/>
            </w:tcBorders>
            <w:shd w:val="clear" w:color="auto" w:fill="auto"/>
            <w:vAlign w:val="bottom"/>
          </w:tcPr>
          <w:p w14:paraId="451AED0F" w14:textId="77777777" w:rsidR="00B921EA" w:rsidRDefault="00BE3086">
            <w:pPr>
              <w:rPr>
                <w:color w:val="000000"/>
              </w:rPr>
            </w:pPr>
            <w:r>
              <w:rPr>
                <w:color w:val="000000"/>
              </w:rPr>
              <w:t>11.97</w:t>
            </w:r>
          </w:p>
        </w:tc>
      </w:tr>
      <w:tr w:rsidR="00B921EA" w14:paraId="451AED14" w14:textId="77777777">
        <w:trPr>
          <w:trHeight w:val="300"/>
        </w:trPr>
        <w:tc>
          <w:tcPr>
            <w:tcW w:w="3387" w:type="dxa"/>
            <w:tcBorders>
              <w:top w:val="nil"/>
              <w:left w:val="nil"/>
              <w:bottom w:val="nil"/>
              <w:right w:val="nil"/>
            </w:tcBorders>
            <w:shd w:val="clear" w:color="auto" w:fill="auto"/>
            <w:vAlign w:val="bottom"/>
          </w:tcPr>
          <w:p w14:paraId="451AED11" w14:textId="77777777" w:rsidR="00B921EA" w:rsidRDefault="00BE3086">
            <w:pPr>
              <w:rPr>
                <w:color w:val="000000"/>
              </w:rPr>
            </w:pPr>
            <w:r>
              <w:rPr>
                <w:color w:val="000000"/>
              </w:rPr>
              <w:t>Fiber, total dietary</w:t>
            </w:r>
          </w:p>
        </w:tc>
        <w:tc>
          <w:tcPr>
            <w:tcW w:w="670" w:type="dxa"/>
            <w:tcBorders>
              <w:top w:val="nil"/>
              <w:left w:val="nil"/>
              <w:bottom w:val="nil"/>
              <w:right w:val="nil"/>
            </w:tcBorders>
            <w:shd w:val="clear" w:color="auto" w:fill="auto"/>
            <w:vAlign w:val="bottom"/>
          </w:tcPr>
          <w:p w14:paraId="451AED12" w14:textId="77777777" w:rsidR="00B921EA" w:rsidRDefault="00BE3086">
            <w:pPr>
              <w:rPr>
                <w:color w:val="000000"/>
              </w:rPr>
            </w:pPr>
            <w:r>
              <w:rPr>
                <w:color w:val="000000"/>
              </w:rPr>
              <w:t>g</w:t>
            </w:r>
          </w:p>
        </w:tc>
        <w:tc>
          <w:tcPr>
            <w:tcW w:w="2032" w:type="dxa"/>
            <w:tcBorders>
              <w:top w:val="nil"/>
              <w:left w:val="nil"/>
              <w:bottom w:val="nil"/>
              <w:right w:val="nil"/>
            </w:tcBorders>
            <w:shd w:val="clear" w:color="auto" w:fill="auto"/>
            <w:vAlign w:val="bottom"/>
          </w:tcPr>
          <w:p w14:paraId="451AED13" w14:textId="77777777" w:rsidR="00B921EA" w:rsidRDefault="00BE3086">
            <w:pPr>
              <w:rPr>
                <w:color w:val="000000"/>
              </w:rPr>
            </w:pPr>
            <w:r>
              <w:rPr>
                <w:color w:val="000000"/>
              </w:rPr>
              <w:t>3.6</w:t>
            </w:r>
          </w:p>
        </w:tc>
      </w:tr>
      <w:tr w:rsidR="00B921EA" w14:paraId="451AED18" w14:textId="77777777">
        <w:trPr>
          <w:trHeight w:val="300"/>
        </w:trPr>
        <w:tc>
          <w:tcPr>
            <w:tcW w:w="3387" w:type="dxa"/>
            <w:tcBorders>
              <w:top w:val="nil"/>
              <w:left w:val="nil"/>
              <w:bottom w:val="nil"/>
              <w:right w:val="nil"/>
            </w:tcBorders>
            <w:shd w:val="clear" w:color="auto" w:fill="auto"/>
            <w:vAlign w:val="bottom"/>
          </w:tcPr>
          <w:p w14:paraId="451AED15" w14:textId="77777777" w:rsidR="00B921EA" w:rsidRDefault="00BE3086">
            <w:pPr>
              <w:rPr>
                <w:color w:val="000000"/>
              </w:rPr>
            </w:pPr>
            <w:r>
              <w:rPr>
                <w:color w:val="000000"/>
              </w:rPr>
              <w:t>Sugars, total</w:t>
            </w:r>
          </w:p>
        </w:tc>
        <w:tc>
          <w:tcPr>
            <w:tcW w:w="670" w:type="dxa"/>
            <w:tcBorders>
              <w:top w:val="nil"/>
              <w:left w:val="nil"/>
              <w:bottom w:val="nil"/>
              <w:right w:val="nil"/>
            </w:tcBorders>
            <w:shd w:val="clear" w:color="auto" w:fill="auto"/>
            <w:vAlign w:val="bottom"/>
          </w:tcPr>
          <w:p w14:paraId="451AED16" w14:textId="77777777" w:rsidR="00B921EA" w:rsidRDefault="00BE3086">
            <w:pPr>
              <w:rPr>
                <w:color w:val="000000"/>
              </w:rPr>
            </w:pPr>
            <w:r>
              <w:rPr>
                <w:color w:val="000000"/>
              </w:rPr>
              <w:t>g</w:t>
            </w:r>
          </w:p>
        </w:tc>
        <w:tc>
          <w:tcPr>
            <w:tcW w:w="2032" w:type="dxa"/>
            <w:tcBorders>
              <w:top w:val="nil"/>
              <w:left w:val="nil"/>
              <w:bottom w:val="nil"/>
              <w:right w:val="nil"/>
            </w:tcBorders>
            <w:shd w:val="clear" w:color="auto" w:fill="auto"/>
            <w:vAlign w:val="bottom"/>
          </w:tcPr>
          <w:p w14:paraId="451AED17" w14:textId="77777777" w:rsidR="00B921EA" w:rsidRDefault="00BE3086">
            <w:pPr>
              <w:rPr>
                <w:color w:val="000000"/>
              </w:rPr>
            </w:pPr>
            <w:r>
              <w:rPr>
                <w:color w:val="000000"/>
              </w:rPr>
              <w:t>4.27</w:t>
            </w:r>
          </w:p>
        </w:tc>
      </w:tr>
      <w:tr w:rsidR="00B921EA" w14:paraId="451AED1A" w14:textId="77777777">
        <w:trPr>
          <w:trHeight w:val="300"/>
        </w:trPr>
        <w:tc>
          <w:tcPr>
            <w:tcW w:w="6089" w:type="dxa"/>
            <w:gridSpan w:val="3"/>
            <w:tcBorders>
              <w:top w:val="nil"/>
              <w:left w:val="nil"/>
              <w:bottom w:val="nil"/>
              <w:right w:val="nil"/>
            </w:tcBorders>
            <w:shd w:val="clear" w:color="auto" w:fill="D9D9D9"/>
            <w:vAlign w:val="bottom"/>
          </w:tcPr>
          <w:p w14:paraId="451AED19" w14:textId="77777777" w:rsidR="00B921EA" w:rsidRDefault="00BE3086">
            <w:pPr>
              <w:rPr>
                <w:b/>
                <w:color w:val="000000"/>
                <w:sz w:val="28"/>
                <w:szCs w:val="28"/>
              </w:rPr>
            </w:pPr>
            <w:r>
              <w:rPr>
                <w:b/>
                <w:color w:val="000000"/>
                <w:sz w:val="28"/>
                <w:szCs w:val="28"/>
              </w:rPr>
              <w:t>Minerals</w:t>
            </w:r>
          </w:p>
        </w:tc>
      </w:tr>
      <w:tr w:rsidR="00B921EA" w14:paraId="451AED1E" w14:textId="77777777">
        <w:trPr>
          <w:trHeight w:val="300"/>
        </w:trPr>
        <w:tc>
          <w:tcPr>
            <w:tcW w:w="3387" w:type="dxa"/>
            <w:tcBorders>
              <w:top w:val="nil"/>
              <w:left w:val="nil"/>
              <w:bottom w:val="nil"/>
              <w:right w:val="nil"/>
            </w:tcBorders>
            <w:shd w:val="clear" w:color="auto" w:fill="auto"/>
            <w:vAlign w:val="bottom"/>
          </w:tcPr>
          <w:p w14:paraId="451AED1B" w14:textId="77777777" w:rsidR="00B921EA" w:rsidRDefault="00BE3086">
            <w:pPr>
              <w:rPr>
                <w:color w:val="000000"/>
              </w:rPr>
            </w:pPr>
            <w:r>
              <w:rPr>
                <w:color w:val="000000"/>
              </w:rPr>
              <w:t>Calcium, Ca</w:t>
            </w:r>
          </w:p>
        </w:tc>
        <w:tc>
          <w:tcPr>
            <w:tcW w:w="670" w:type="dxa"/>
            <w:tcBorders>
              <w:top w:val="nil"/>
              <w:left w:val="nil"/>
              <w:bottom w:val="nil"/>
              <w:right w:val="nil"/>
            </w:tcBorders>
            <w:shd w:val="clear" w:color="auto" w:fill="auto"/>
            <w:vAlign w:val="bottom"/>
          </w:tcPr>
          <w:p w14:paraId="451AED1C" w14:textId="77777777" w:rsidR="00B921EA" w:rsidRDefault="00BE3086">
            <w:pPr>
              <w:rPr>
                <w:color w:val="000000"/>
              </w:rPr>
            </w:pPr>
            <w:r>
              <w:rPr>
                <w:color w:val="000000"/>
              </w:rPr>
              <w:t>mg</w:t>
            </w:r>
          </w:p>
        </w:tc>
        <w:tc>
          <w:tcPr>
            <w:tcW w:w="2032" w:type="dxa"/>
            <w:tcBorders>
              <w:top w:val="nil"/>
              <w:left w:val="nil"/>
              <w:bottom w:val="nil"/>
              <w:right w:val="nil"/>
            </w:tcBorders>
            <w:shd w:val="clear" w:color="auto" w:fill="auto"/>
            <w:vAlign w:val="bottom"/>
          </w:tcPr>
          <w:p w14:paraId="451AED1D" w14:textId="77777777" w:rsidR="00B921EA" w:rsidRDefault="00BE3086">
            <w:pPr>
              <w:rPr>
                <w:color w:val="000000"/>
              </w:rPr>
            </w:pPr>
            <w:r>
              <w:rPr>
                <w:color w:val="000000"/>
              </w:rPr>
              <w:t>8</w:t>
            </w:r>
          </w:p>
        </w:tc>
      </w:tr>
      <w:tr w:rsidR="00B921EA" w14:paraId="451AED20" w14:textId="77777777">
        <w:trPr>
          <w:trHeight w:val="300"/>
        </w:trPr>
        <w:tc>
          <w:tcPr>
            <w:tcW w:w="6089" w:type="dxa"/>
            <w:gridSpan w:val="3"/>
            <w:tcBorders>
              <w:top w:val="nil"/>
              <w:left w:val="nil"/>
              <w:bottom w:val="nil"/>
              <w:right w:val="nil"/>
            </w:tcBorders>
            <w:shd w:val="clear" w:color="auto" w:fill="auto"/>
            <w:vAlign w:val="bottom"/>
          </w:tcPr>
          <w:p w14:paraId="451AED1F" w14:textId="77777777" w:rsidR="00B921EA" w:rsidRDefault="00BE3086">
            <w:pPr>
              <w:rPr>
                <w:color w:val="000000"/>
              </w:rPr>
            </w:pPr>
            <w:r>
              <w:rPr>
                <w:color w:val="000000"/>
              </w:rPr>
              <w:t>Showing 33 nutrients</w:t>
            </w:r>
          </w:p>
        </w:tc>
      </w:tr>
    </w:tbl>
    <w:p w14:paraId="451AED21" w14:textId="77777777" w:rsidR="00B921EA" w:rsidRDefault="00BE3086">
      <w:pPr>
        <w:pBdr>
          <w:top w:val="nil"/>
          <w:left w:val="nil"/>
          <w:bottom w:val="nil"/>
          <w:right w:val="nil"/>
          <w:between w:val="nil"/>
        </w:pBdr>
        <w:rPr>
          <w:rFonts w:ascii="Consolas" w:eastAsia="Consolas" w:hAnsi="Consolas" w:cs="Consolas"/>
          <w:color w:val="000000"/>
          <w:sz w:val="21"/>
          <w:szCs w:val="21"/>
        </w:rPr>
      </w:pPr>
      <w:hyperlink r:id="rId17">
        <w:r>
          <w:rPr>
            <w:color w:val="0000FF"/>
            <w:u w:val="single"/>
          </w:rPr>
          <w:t>https://ndb.nal.usda.gov/ndb/foods/show/2191?fgcd=&amp;manu=&amp;l</w:t>
        </w:r>
        <w:r>
          <w:rPr>
            <w:color w:val="0000FF"/>
            <w:u w:val="single"/>
          </w:rPr>
          <w:t>facet=&amp;format=&amp;count=&amp;max=50&amp;offset=&amp;sort=default&amp;order=asc&amp;qlookup=cranberries&amp;ds=Standard+Reference&amp;qt=&amp;qp=&amp;qa=&amp;qn=&amp;q=&amp;ing</w:t>
        </w:r>
      </w:hyperlink>
      <w:r>
        <w:rPr>
          <w:color w:val="000000"/>
        </w:rPr>
        <w:t xml:space="preserve">= </w:t>
      </w:r>
    </w:p>
    <w:p w14:paraId="451AED22" w14:textId="77777777" w:rsidR="00B921EA" w:rsidRDefault="00B921EA">
      <w:pPr>
        <w:pBdr>
          <w:top w:val="nil"/>
          <w:left w:val="nil"/>
          <w:bottom w:val="nil"/>
          <w:right w:val="nil"/>
          <w:between w:val="nil"/>
        </w:pBdr>
        <w:rPr>
          <w:color w:val="000000"/>
        </w:rPr>
      </w:pPr>
    </w:p>
    <w:p w14:paraId="451AED23" w14:textId="77777777" w:rsidR="00B921EA" w:rsidRDefault="00BE3086">
      <w:pPr>
        <w:pBdr>
          <w:top w:val="nil"/>
          <w:left w:val="nil"/>
          <w:bottom w:val="nil"/>
          <w:right w:val="nil"/>
          <w:between w:val="nil"/>
        </w:pBdr>
        <w:rPr>
          <w:color w:val="000000"/>
        </w:rPr>
      </w:pPr>
      <w:r>
        <w:rPr>
          <w:color w:val="000000"/>
        </w:rPr>
        <w:tab/>
      </w:r>
    </w:p>
    <w:p w14:paraId="451AED24" w14:textId="77777777" w:rsidR="00B921EA" w:rsidRDefault="00BE3086">
      <w:pPr>
        <w:numPr>
          <w:ilvl w:val="2"/>
          <w:numId w:val="10"/>
        </w:numPr>
        <w:rPr>
          <w:b/>
        </w:rPr>
      </w:pPr>
      <w:r>
        <w:rPr>
          <w:b/>
          <w:color w:val="000000"/>
        </w:rPr>
        <w:t>Accessibility (inability to gain access to needed plant genetic resources because of phytos</w:t>
      </w:r>
      <w:r>
        <w:rPr>
          <w:b/>
          <w:color w:val="000000"/>
        </w:rPr>
        <w:t xml:space="preserve">anitary/quarantine issues, inadequate budgets, management capacities or legal restrictions) </w:t>
      </w:r>
    </w:p>
    <w:p w14:paraId="451AED25" w14:textId="77777777" w:rsidR="00B921EA" w:rsidRDefault="00BE3086">
      <w:r>
        <w:t>Because cranberries are a North American native crop, access to plant genetic resources are direct. The primary species is not threatened or endangered for the mos</w:t>
      </w:r>
      <w:r>
        <w:t>t part. Phytosanitary or quarantine regulations are not an issue. Recently released cultivars are under US Plant Patents. As these patents expire the germplasm will become available to the domestic collections. Wild species and heritage cultivars are avail</w:t>
      </w:r>
      <w:r>
        <w:t xml:space="preserve">able and accessible to researchers and the public. </w:t>
      </w:r>
    </w:p>
    <w:p w14:paraId="451AED26" w14:textId="77777777" w:rsidR="00B921EA" w:rsidRDefault="00B921EA"/>
    <w:p w14:paraId="451AED27" w14:textId="77777777" w:rsidR="00B921EA" w:rsidRDefault="00BE3086">
      <w:pPr>
        <w:numPr>
          <w:ilvl w:val="0"/>
          <w:numId w:val="10"/>
        </w:numPr>
        <w:rPr>
          <w:b/>
        </w:rPr>
      </w:pPr>
      <w:r>
        <w:rPr>
          <w:b/>
        </w:rPr>
        <w:t>Germplasm resources for reducing vulnerabilities</w:t>
      </w:r>
      <w:r>
        <w:rPr>
          <w:b/>
        </w:rPr>
        <w:br/>
      </w:r>
    </w:p>
    <w:p w14:paraId="451AED28" w14:textId="77777777" w:rsidR="00B921EA" w:rsidRDefault="00BE3086">
      <w:pPr>
        <w:numPr>
          <w:ilvl w:val="1"/>
          <w:numId w:val="10"/>
        </w:numPr>
        <w:rPr>
          <w:b/>
        </w:rPr>
      </w:pPr>
      <w:r>
        <w:rPr>
          <w:b/>
        </w:rPr>
        <w:t>Germplasm collections</w:t>
      </w:r>
    </w:p>
    <w:p w14:paraId="451AED29" w14:textId="77777777" w:rsidR="00B921EA" w:rsidRDefault="00BE3086">
      <w:pPr>
        <w:tabs>
          <w:tab w:val="left" w:pos="1440"/>
        </w:tabs>
      </w:pPr>
      <w:r>
        <w:t xml:space="preserve">The NCGR-Corvallis holdings include two types of accessions: clonal and </w:t>
      </w:r>
      <w:proofErr w:type="gramStart"/>
      <w:r>
        <w:t>species</w:t>
      </w:r>
      <w:proofErr w:type="gramEnd"/>
    </w:p>
    <w:p w14:paraId="451AED2A" w14:textId="77777777" w:rsidR="00B921EA" w:rsidRDefault="00BE3086">
      <w:pPr>
        <w:tabs>
          <w:tab w:val="left" w:pos="1440"/>
        </w:tabs>
      </w:pPr>
      <w:r>
        <w:t>1) Clonal plants (living collections) that are prop</w:t>
      </w:r>
      <w:r>
        <w:t>agated vegetatively and represent specific genotypes. These include heritage cultivars, newer cultivars, selections that contain specific traits of interest and elite wild accessions.</w:t>
      </w:r>
    </w:p>
    <w:p w14:paraId="451AED2B" w14:textId="77777777" w:rsidR="00B921EA" w:rsidRDefault="00BE3086">
      <w:pPr>
        <w:tabs>
          <w:tab w:val="left" w:pos="1440"/>
        </w:tabs>
      </w:pPr>
      <w:r>
        <w:t>2) Broader species collections are represented by seed lots or additiona</w:t>
      </w:r>
      <w:r>
        <w:t xml:space="preserve">lly by plant representatives of certain populations. </w:t>
      </w:r>
    </w:p>
    <w:p w14:paraId="451AED2C" w14:textId="77777777" w:rsidR="00B921EA" w:rsidRDefault="00B921EA">
      <w:pPr>
        <w:rPr>
          <w:b/>
        </w:rPr>
      </w:pPr>
    </w:p>
    <w:p w14:paraId="451AED2D" w14:textId="77777777" w:rsidR="00B921EA" w:rsidRDefault="00BE3086">
      <w:r>
        <w:t>The NCGR-Corvallis collection presently has about 85 cultivars. A recent study was conducted using 12 simple sequence repeats (SSRs) to examine clonal purity and cultivar relatedness of 271 plants from</w:t>
      </w:r>
      <w:r>
        <w:t xml:space="preserve"> 77 accessions representing 66 named cultivars in the NCGR collection (</w:t>
      </w:r>
      <w:proofErr w:type="spellStart"/>
      <w:r>
        <w:t>Schlautman</w:t>
      </w:r>
      <w:proofErr w:type="spellEnd"/>
      <w:r>
        <w:t xml:space="preserve"> et al. in preparation). Intra-cultivar variants (sub-clones) existed in the germplasm collection, a </w:t>
      </w:r>
      <w:r>
        <w:lastRenderedPageBreak/>
        <w:t>problem that likely stems from past misidentification or mixed clones of t</w:t>
      </w:r>
      <w:r>
        <w:t>he accessions acquired by the NCGR. Consensus and true-to-type genotypes were found for many cultivars and wild selections by comparisons of genotypes in this study with previous ones, and a pedigree analysis. However, others were apparently absent suggest</w:t>
      </w:r>
      <w:r>
        <w:t xml:space="preserve">ing that the collection can still be improved by sampling genotypes in cranberry bogs from commercial marshes across the growing regions or from breeders. </w:t>
      </w:r>
    </w:p>
    <w:p w14:paraId="451AED2E" w14:textId="77777777" w:rsidR="00B921EA" w:rsidRDefault="00B921EA"/>
    <w:p w14:paraId="451AED2F" w14:textId="77777777" w:rsidR="00B921EA" w:rsidRDefault="00BE3086">
      <w:pPr>
        <w:numPr>
          <w:ilvl w:val="1"/>
          <w:numId w:val="10"/>
        </w:numPr>
        <w:rPr>
          <w:b/>
        </w:rPr>
      </w:pPr>
      <w:r>
        <w:rPr>
          <w:b/>
        </w:rPr>
        <w:t xml:space="preserve">Conservation </w:t>
      </w:r>
      <w:r>
        <w:rPr>
          <w:b/>
          <w:i/>
        </w:rPr>
        <w:t>in situ</w:t>
      </w:r>
    </w:p>
    <w:p w14:paraId="451AED30" w14:textId="77777777" w:rsidR="00B921EA" w:rsidRDefault="00BE3086">
      <w:r>
        <w:t>The USDA Agricultural Research Service and the US Forest Service (USFS) have joined forces to conserve CWR native to the US, specifically on lands in the National Forest System. The collaboration was formalized through an agreement between the agencies and</w:t>
      </w:r>
      <w:r>
        <w:t xml:space="preserve"> further developed in The </w:t>
      </w:r>
      <w:hyperlink r:id="rId18">
        <w:r>
          <w:rPr>
            <w:color w:val="0000FF"/>
            <w:u w:val="single"/>
          </w:rPr>
          <w:t>USFS-ARS Joint Strategic Framework on the Conservation and Use of Native Crop Wild Relatives in the United Sta</w:t>
        </w:r>
        <w:r>
          <w:rPr>
            <w:color w:val="0000FF"/>
            <w:u w:val="single"/>
          </w:rPr>
          <w:t>tes</w:t>
        </w:r>
      </w:hyperlink>
      <w:r>
        <w:t xml:space="preserve">, finalized in 2014. The foundation of the strategic framework is its emphasis on complementary conservation, with plants in living populations on National Forest Lands linked with germplasm conserved </w:t>
      </w:r>
      <w:r>
        <w:rPr>
          <w:i/>
        </w:rPr>
        <w:t>ex situ</w:t>
      </w:r>
      <w:r>
        <w:t xml:space="preserve"> in </w:t>
      </w:r>
      <w:proofErr w:type="spellStart"/>
      <w:r>
        <w:t>genebanks</w:t>
      </w:r>
      <w:proofErr w:type="spellEnd"/>
      <w:r>
        <w:t xml:space="preserve"> of the NPGS. Two general approaches are established, one focusing on conserving the CWR of one specific crop, and the other on CWR of multiple crops within the boundaries of a specific protected area. </w:t>
      </w:r>
    </w:p>
    <w:p w14:paraId="451AED31" w14:textId="77777777" w:rsidR="00B921EA" w:rsidRDefault="00BE3086">
      <w:pPr>
        <w:ind w:firstLine="720"/>
      </w:pPr>
      <w:r>
        <w:t xml:space="preserve">As a pilot study for the first approach </w:t>
      </w:r>
      <w:r>
        <w:t xml:space="preserve">to </w:t>
      </w:r>
      <w:r>
        <w:rPr>
          <w:i/>
        </w:rPr>
        <w:t>in situ</w:t>
      </w:r>
      <w:r>
        <w:t xml:space="preserve"> conservation in the Framework, the USDA ARS Plant Exchange Office of the National Germplasm Resources Laboratory is collaborating with USFS botanists on the conservation of the wild relatives of cranberry, including wild stands of </w:t>
      </w:r>
      <w:r>
        <w:rPr>
          <w:i/>
        </w:rPr>
        <w:t>V. macrocarpon</w:t>
      </w:r>
      <w:r>
        <w:t xml:space="preserve"> and </w:t>
      </w:r>
      <w:r>
        <w:rPr>
          <w:i/>
        </w:rPr>
        <w:t xml:space="preserve">V. </w:t>
      </w:r>
      <w:proofErr w:type="spellStart"/>
      <w:r>
        <w:rPr>
          <w:i/>
        </w:rPr>
        <w:t>oxycoccos</w:t>
      </w:r>
      <w:proofErr w:type="spellEnd"/>
      <w:r>
        <w:t>. Representative populations of these species across the species’ native ranges in the US are being studied on National Forests. Standard protocols developed by the ARS and USFS are being used to collect leaf tissue for DNA analysis, colle</w:t>
      </w:r>
      <w:r>
        <w:t xml:space="preserve">ct fruit and seed, and prepare herbarium vouchers. </w:t>
      </w:r>
    </w:p>
    <w:p w14:paraId="451AED32" w14:textId="77777777" w:rsidR="00B921EA" w:rsidRDefault="00BE3086">
      <w:pPr>
        <w:ind w:firstLine="720"/>
      </w:pPr>
      <w:r>
        <w:t xml:space="preserve">Representative germplasm is maintained as </w:t>
      </w:r>
      <w:proofErr w:type="spellStart"/>
      <w:r>
        <w:t>seedlots</w:t>
      </w:r>
      <w:proofErr w:type="spellEnd"/>
      <w:r>
        <w:t xml:space="preserve"> and plants at the National Clonal Germplasm Repository in Corvallis, Oregon. Herbarium vouchers are maintained by the U.S. National Arboretum in D.C. The</w:t>
      </w:r>
      <w:r>
        <w:t xml:space="preserve"> goal is to identify those populations that are the highest priority for designation as </w:t>
      </w:r>
      <w:r>
        <w:rPr>
          <w:i/>
        </w:rPr>
        <w:t>In Situ</w:t>
      </w:r>
      <w:r>
        <w:t xml:space="preserve"> Genetic Resource Reserves (IGRRs). This designation will be based on location, distance from other populations, sustainability, population size, genetic profile</w:t>
      </w:r>
      <w:r>
        <w:t xml:space="preserve">, ease of access, and cultural significance to Native Americans. Long-term management plans will be implemented by the USFS to monitor, manage, and safeguard the security of the populations. In the future, expansion of the study to populations outside the </w:t>
      </w:r>
      <w:r>
        <w:t xml:space="preserve">National Forest System is planned to encompass broader genetic diversity of the two American wild cranberry species, </w:t>
      </w:r>
      <w:r>
        <w:rPr>
          <w:i/>
        </w:rPr>
        <w:t>V. macrocarpon</w:t>
      </w:r>
      <w:r>
        <w:t xml:space="preserve"> and </w:t>
      </w:r>
      <w:r>
        <w:rPr>
          <w:i/>
        </w:rPr>
        <w:t xml:space="preserve">V. </w:t>
      </w:r>
      <w:proofErr w:type="spellStart"/>
      <w:r>
        <w:rPr>
          <w:i/>
        </w:rPr>
        <w:t>oxycoccos</w:t>
      </w:r>
      <w:proofErr w:type="spellEnd"/>
      <w:r>
        <w:t>.</w:t>
      </w:r>
    </w:p>
    <w:p w14:paraId="451AED33" w14:textId="77777777" w:rsidR="00B921EA" w:rsidRDefault="00B921EA">
      <w:pPr>
        <w:tabs>
          <w:tab w:val="left" w:pos="720"/>
        </w:tabs>
        <w:rPr>
          <w:b/>
        </w:rPr>
      </w:pPr>
    </w:p>
    <w:p w14:paraId="451AED34" w14:textId="77777777" w:rsidR="00B921EA" w:rsidRDefault="00BE3086">
      <w:pPr>
        <w:numPr>
          <w:ilvl w:val="1"/>
          <w:numId w:val="10"/>
        </w:numPr>
        <w:rPr>
          <w:b/>
        </w:rPr>
      </w:pPr>
      <w:r>
        <w:rPr>
          <w:b/>
        </w:rPr>
        <w:t>Gaps in genetic coverage</w:t>
      </w:r>
    </w:p>
    <w:p w14:paraId="451AED35" w14:textId="77777777" w:rsidR="00B921EA" w:rsidRDefault="00BE3086">
      <w:r>
        <w:t>Other heritage cultivars from the U.S. and wild accessions unrepresented geograp</w:t>
      </w:r>
      <w:r>
        <w:t>hically in the collection are being sought to broaden representation of cranberry diversity in the collection. Species representatives are especially needed from northeastern North America including the Eastern coast of the United States and Northeastern C</w:t>
      </w:r>
      <w:r>
        <w:t xml:space="preserve">anadian Maritime Provinces; from the </w:t>
      </w:r>
      <w:proofErr w:type="spellStart"/>
      <w:r>
        <w:t>Appalacian</w:t>
      </w:r>
      <w:proofErr w:type="spellEnd"/>
      <w:r>
        <w:t xml:space="preserve"> Mountains in the south; and from the northern Midwestern states, such as Minnesota, Michigan, and Wisconsin. Recent collections from USDA scientists in the mid-west will be donated to the NCGR </w:t>
      </w:r>
      <w:r>
        <w:rPr>
          <w:i/>
        </w:rPr>
        <w:t>ex situ</w:t>
      </w:r>
      <w:r>
        <w:t xml:space="preserve"> collect</w:t>
      </w:r>
      <w:r>
        <w:t xml:space="preserve">ion. </w:t>
      </w:r>
    </w:p>
    <w:p w14:paraId="451AED36" w14:textId="77777777" w:rsidR="00B921EA" w:rsidRDefault="00BE3086">
      <w:pPr>
        <w:ind w:firstLine="720"/>
        <w:rPr>
          <w:b/>
        </w:rPr>
      </w:pPr>
      <w:r>
        <w:t xml:space="preserve">During the past several decades, </w:t>
      </w:r>
      <w:r>
        <w:rPr>
          <w:i/>
        </w:rPr>
        <w:t xml:space="preserve">in situ </w:t>
      </w:r>
      <w:r>
        <w:t xml:space="preserve">conservation strategies have been established between the US Department of Agriculture and sister agencies, such as the U.S. Forest Service, as well as state heritage conservation programs in the Eastern U.S. </w:t>
      </w:r>
      <w:r>
        <w:t xml:space="preserve">American crop wild relatives </w:t>
      </w:r>
      <w:r>
        <w:lastRenderedPageBreak/>
        <w:t>of cranberry are prime candidates for</w:t>
      </w:r>
      <w:r>
        <w:rPr>
          <w:i/>
        </w:rPr>
        <w:t xml:space="preserve"> in situ/ex situ</w:t>
      </w:r>
      <w:r>
        <w:t xml:space="preserve"> conservation collaborations because of species distribution in many National Forests, state parks, and heritage sites from the Mid-western to the Eastern U.S. </w:t>
      </w:r>
    </w:p>
    <w:p w14:paraId="451AED37" w14:textId="77777777" w:rsidR="00B921EA" w:rsidRDefault="00B921EA">
      <w:pPr>
        <w:rPr>
          <w:b/>
        </w:rPr>
      </w:pPr>
    </w:p>
    <w:p w14:paraId="451AED38" w14:textId="77777777" w:rsidR="00B921EA" w:rsidRDefault="00BE3086">
      <w:pPr>
        <w:numPr>
          <w:ilvl w:val="1"/>
          <w:numId w:val="10"/>
        </w:numPr>
        <w:rPr>
          <w:b/>
        </w:rPr>
      </w:pPr>
      <w:r>
        <w:rPr>
          <w:b/>
        </w:rPr>
        <w:t>List of desi</w:t>
      </w:r>
      <w:r>
        <w:rPr>
          <w:b/>
        </w:rPr>
        <w:t xml:space="preserve">gnated </w:t>
      </w:r>
      <w:proofErr w:type="gramStart"/>
      <w:r>
        <w:rPr>
          <w:b/>
        </w:rPr>
        <w:t>primary</w:t>
      </w:r>
      <w:proofErr w:type="gramEnd"/>
      <w:r>
        <w:rPr>
          <w:b/>
        </w:rPr>
        <w:t>, secondary, and tertiary crop wild relatives</w:t>
      </w:r>
    </w:p>
    <w:p w14:paraId="451AED39" w14:textId="77777777" w:rsidR="00B921EA" w:rsidRDefault="00B921EA">
      <w:pPr>
        <w:rPr>
          <w:b/>
        </w:rPr>
      </w:pPr>
    </w:p>
    <w:p w14:paraId="451AED3A" w14:textId="77777777" w:rsidR="00B921EA" w:rsidRDefault="00BE3086">
      <w:pPr>
        <w:rPr>
          <w:i/>
          <w:color w:val="000000"/>
        </w:rPr>
      </w:pPr>
      <w:r>
        <w:rPr>
          <w:b/>
          <w:color w:val="000000"/>
        </w:rPr>
        <w:t>Primary genetic relative:</w:t>
      </w:r>
      <w:r>
        <w:rPr>
          <w:color w:val="000000"/>
        </w:rPr>
        <w:t xml:space="preserve"> </w:t>
      </w:r>
      <w:r>
        <w:rPr>
          <w:i/>
          <w:color w:val="000000"/>
        </w:rPr>
        <w:t>Taxa that cross readily with the crop (or can be predicted to do so based on their taxonomic or phylogenetic relationships), yielding (or being expected to yield) fertil</w:t>
      </w:r>
      <w:r>
        <w:rPr>
          <w:i/>
          <w:color w:val="000000"/>
        </w:rPr>
        <w:t>e hybrids with good chromosome pairing, making gene transfer through hybridization simple.</w:t>
      </w:r>
    </w:p>
    <w:p w14:paraId="451AED3B" w14:textId="77777777" w:rsidR="00B921EA" w:rsidRDefault="00BE3086">
      <w:pPr>
        <w:rPr>
          <w:i/>
          <w:color w:val="000000"/>
        </w:rPr>
      </w:pPr>
      <w:r>
        <w:rPr>
          <w:b/>
          <w:color w:val="000000"/>
        </w:rPr>
        <w:t>Secondary genetic relative</w:t>
      </w:r>
      <w:r>
        <w:rPr>
          <w:b/>
          <w:i/>
          <w:color w:val="000000"/>
        </w:rPr>
        <w:t>:</w:t>
      </w:r>
      <w:r>
        <w:rPr>
          <w:i/>
          <w:color w:val="000000"/>
        </w:rPr>
        <w:t xml:space="preserve"> Taxa that will successfully cross with the crop (or can be predicted to do so based on their taxonomic or phylogenetic relationships), bu</w:t>
      </w:r>
      <w:r>
        <w:rPr>
          <w:i/>
          <w:color w:val="000000"/>
        </w:rPr>
        <w:t>t yield (or would be expected to yield) partially or mostly sterile hybrids with poor chromosome pairing, making gene transfer through hybridization difficult.</w:t>
      </w:r>
    </w:p>
    <w:p w14:paraId="451AED3C" w14:textId="77777777" w:rsidR="00B921EA" w:rsidRDefault="00BE3086">
      <w:pPr>
        <w:rPr>
          <w:i/>
          <w:color w:val="000000"/>
        </w:rPr>
      </w:pPr>
      <w:r>
        <w:rPr>
          <w:b/>
          <w:color w:val="000000"/>
        </w:rPr>
        <w:t>Tertiary genetic relative:</w:t>
      </w:r>
      <w:r>
        <w:rPr>
          <w:color w:val="000000"/>
        </w:rPr>
        <w:t xml:space="preserve"> </w:t>
      </w:r>
      <w:r>
        <w:rPr>
          <w:i/>
          <w:color w:val="000000"/>
        </w:rPr>
        <w:t xml:space="preserve">Taxa that can be crossed with the crop (or can be predicted to do so </w:t>
      </w:r>
      <w:r>
        <w:rPr>
          <w:i/>
          <w:color w:val="000000"/>
        </w:rPr>
        <w:t>based on their taxonomic or phylogenetic relationships), but hybrids are (or are expected to be) lethal or completely sterile. Special breeding techniques, some yet to be developed, are required for gene transfer.</w:t>
      </w:r>
    </w:p>
    <w:p w14:paraId="451AED3D" w14:textId="77777777" w:rsidR="00B921EA" w:rsidRDefault="00B921EA">
      <w:pPr>
        <w:rPr>
          <w:i/>
          <w:color w:val="000000"/>
        </w:rPr>
      </w:pPr>
    </w:p>
    <w:p w14:paraId="451AED3E" w14:textId="77777777" w:rsidR="00B921EA" w:rsidRDefault="00BE3086">
      <w:pPr>
        <w:rPr>
          <w:b/>
          <w:color w:val="000000"/>
          <w:sz w:val="27"/>
          <w:szCs w:val="27"/>
          <w:highlight w:val="white"/>
        </w:rPr>
      </w:pPr>
      <w:r>
        <w:rPr>
          <w:b/>
          <w:color w:val="000000"/>
          <w:sz w:val="27"/>
          <w:szCs w:val="27"/>
          <w:highlight w:val="white"/>
        </w:rPr>
        <w:t>Crop: CRANBERRY</w:t>
      </w:r>
      <w:r>
        <w:rPr>
          <w:color w:val="000000"/>
          <w:sz w:val="27"/>
          <w:szCs w:val="27"/>
        </w:rPr>
        <w:br/>
      </w:r>
      <w:r>
        <w:rPr>
          <w:color w:val="000000"/>
          <w:sz w:val="27"/>
          <w:szCs w:val="27"/>
          <w:highlight w:val="white"/>
        </w:rPr>
        <w:t>(compiled by Dr. Blanca L</w:t>
      </w:r>
      <w:r>
        <w:rPr>
          <w:color w:val="000000"/>
          <w:sz w:val="27"/>
          <w:szCs w:val="27"/>
          <w:highlight w:val="white"/>
        </w:rPr>
        <w:t>eón)</w:t>
      </w:r>
    </w:p>
    <w:p w14:paraId="451AED3F" w14:textId="77777777" w:rsidR="00B921EA" w:rsidRDefault="00BE3086">
      <w:pPr>
        <w:shd w:val="clear" w:color="auto" w:fill="FFFFFF"/>
        <w:ind w:firstLine="259"/>
        <w:rPr>
          <w:color w:val="000000"/>
          <w:sz w:val="27"/>
          <w:szCs w:val="27"/>
        </w:rPr>
      </w:pPr>
      <w:r>
        <w:rPr>
          <w:b/>
          <w:color w:val="000000"/>
          <w:sz w:val="27"/>
          <w:szCs w:val="27"/>
        </w:rPr>
        <w:t>Crop taxon:</w:t>
      </w:r>
    </w:p>
    <w:p w14:paraId="451AED40" w14:textId="77777777" w:rsidR="00B921EA" w:rsidRDefault="00BE3086">
      <w:pPr>
        <w:numPr>
          <w:ilvl w:val="0"/>
          <w:numId w:val="2"/>
        </w:numPr>
        <w:shd w:val="clear" w:color="auto" w:fill="FFFFFF"/>
        <w:rPr>
          <w:color w:val="000000"/>
          <w:sz w:val="27"/>
          <w:szCs w:val="27"/>
        </w:rPr>
      </w:pPr>
      <w:hyperlink r:id="rId19">
        <w:r>
          <w:rPr>
            <w:b/>
            <w:i/>
            <w:color w:val="0000FF"/>
            <w:sz w:val="27"/>
            <w:szCs w:val="27"/>
            <w:u w:val="single"/>
          </w:rPr>
          <w:t>Vaccinium</w:t>
        </w:r>
      </w:hyperlink>
      <w:hyperlink r:id="rId20">
        <w:r>
          <w:rPr>
            <w:b/>
            <w:color w:val="0000FF"/>
            <w:sz w:val="27"/>
            <w:szCs w:val="27"/>
            <w:u w:val="single"/>
          </w:rPr>
          <w:t> </w:t>
        </w:r>
      </w:hyperlink>
      <w:hyperlink r:id="rId21">
        <w:r>
          <w:rPr>
            <w:b/>
            <w:i/>
            <w:color w:val="0000FF"/>
            <w:sz w:val="27"/>
            <w:szCs w:val="27"/>
            <w:u w:val="single"/>
          </w:rPr>
          <w:t>macrocarpon</w:t>
        </w:r>
      </w:hyperlink>
      <w:hyperlink r:id="rId22">
        <w:r>
          <w:rPr>
            <w:b/>
            <w:color w:val="0000FF"/>
            <w:sz w:val="27"/>
            <w:szCs w:val="27"/>
            <w:u w:val="single"/>
          </w:rPr>
          <w:t> </w:t>
        </w:r>
        <w:proofErr w:type="spellStart"/>
        <w:r>
          <w:rPr>
            <w:b/>
            <w:color w:val="0000FF"/>
            <w:sz w:val="27"/>
            <w:szCs w:val="27"/>
            <w:u w:val="single"/>
          </w:rPr>
          <w:t>Aiton</w:t>
        </w:r>
        <w:proofErr w:type="spellEnd"/>
      </w:hyperlink>
      <w:r>
        <w:rPr>
          <w:b/>
          <w:color w:val="000000"/>
          <w:sz w:val="27"/>
          <w:szCs w:val="27"/>
        </w:rPr>
        <w:t> – cranberry</w:t>
      </w:r>
    </w:p>
    <w:p w14:paraId="451AED41" w14:textId="77777777" w:rsidR="00B921EA" w:rsidRDefault="00BE3086">
      <w:pPr>
        <w:shd w:val="clear" w:color="auto" w:fill="FFFFFF"/>
        <w:ind w:firstLine="259"/>
        <w:rPr>
          <w:color w:val="000000"/>
          <w:sz w:val="27"/>
          <w:szCs w:val="27"/>
        </w:rPr>
      </w:pPr>
      <w:r>
        <w:rPr>
          <w:b/>
          <w:color w:val="000000"/>
          <w:sz w:val="27"/>
          <w:szCs w:val="27"/>
        </w:rPr>
        <w:t>Crop wild relatives:</w:t>
      </w:r>
    </w:p>
    <w:p w14:paraId="451AED42" w14:textId="77777777" w:rsidR="00B921EA" w:rsidRDefault="00BE3086">
      <w:pPr>
        <w:shd w:val="clear" w:color="auto" w:fill="FFFFFF"/>
        <w:ind w:firstLine="259"/>
        <w:rPr>
          <w:color w:val="000000"/>
          <w:sz w:val="27"/>
          <w:szCs w:val="27"/>
        </w:rPr>
      </w:pPr>
      <w:r>
        <w:rPr>
          <w:b/>
          <w:color w:val="9F141A"/>
          <w:sz w:val="27"/>
          <w:szCs w:val="27"/>
        </w:rPr>
        <w:t>Primary</w:t>
      </w:r>
    </w:p>
    <w:p w14:paraId="451AED43" w14:textId="77777777" w:rsidR="00B921EA" w:rsidRDefault="00BE3086">
      <w:pPr>
        <w:numPr>
          <w:ilvl w:val="0"/>
          <w:numId w:val="5"/>
        </w:numPr>
        <w:shd w:val="clear" w:color="auto" w:fill="FFFFFF"/>
        <w:rPr>
          <w:color w:val="000000"/>
          <w:sz w:val="27"/>
          <w:szCs w:val="27"/>
        </w:rPr>
      </w:pPr>
      <w:hyperlink r:id="rId23">
        <w:r>
          <w:rPr>
            <w:i/>
            <w:color w:val="0000FF"/>
            <w:sz w:val="27"/>
            <w:szCs w:val="27"/>
            <w:u w:val="single"/>
          </w:rPr>
          <w:t>Vaccinium</w:t>
        </w:r>
      </w:hyperlink>
      <w:hyperlink r:id="rId24">
        <w:r>
          <w:rPr>
            <w:color w:val="0000FF"/>
            <w:sz w:val="27"/>
            <w:szCs w:val="27"/>
            <w:u w:val="single"/>
          </w:rPr>
          <w:t> </w:t>
        </w:r>
      </w:hyperlink>
      <w:hyperlink r:id="rId25">
        <w:r>
          <w:rPr>
            <w:i/>
            <w:color w:val="0000FF"/>
            <w:sz w:val="27"/>
            <w:szCs w:val="27"/>
            <w:u w:val="single"/>
          </w:rPr>
          <w:t>macrocarpon</w:t>
        </w:r>
      </w:hyperlink>
      <w:hyperlink r:id="rId26">
        <w:r>
          <w:rPr>
            <w:color w:val="0000FF"/>
            <w:sz w:val="27"/>
            <w:szCs w:val="27"/>
            <w:u w:val="single"/>
          </w:rPr>
          <w:t> </w:t>
        </w:r>
        <w:proofErr w:type="spellStart"/>
        <w:r>
          <w:rPr>
            <w:color w:val="0000FF"/>
            <w:sz w:val="27"/>
            <w:szCs w:val="27"/>
            <w:u w:val="single"/>
          </w:rPr>
          <w:t>Aiton</w:t>
        </w:r>
        <w:proofErr w:type="spellEnd"/>
      </w:hyperlink>
      <w:r>
        <w:rPr>
          <w:color w:val="000000"/>
          <w:sz w:val="27"/>
          <w:szCs w:val="27"/>
        </w:rPr>
        <w:t> [wild types]</w:t>
      </w:r>
      <w:r>
        <w:rPr>
          <w:sz w:val="27"/>
          <w:szCs w:val="27"/>
        </w:rPr>
        <w:t xml:space="preserve"> </w:t>
      </w:r>
    </w:p>
    <w:p w14:paraId="451AED44" w14:textId="77777777" w:rsidR="00B921EA" w:rsidRDefault="00BE3086">
      <w:pPr>
        <w:shd w:val="clear" w:color="auto" w:fill="FFFFFF"/>
        <w:ind w:firstLine="259"/>
        <w:rPr>
          <w:color w:val="000000"/>
          <w:sz w:val="27"/>
          <w:szCs w:val="27"/>
        </w:rPr>
      </w:pPr>
      <w:r>
        <w:rPr>
          <w:b/>
          <w:color w:val="9F141A"/>
          <w:sz w:val="27"/>
          <w:szCs w:val="27"/>
        </w:rPr>
        <w:t>Secondary</w:t>
      </w:r>
    </w:p>
    <w:p w14:paraId="451AED45" w14:textId="77777777" w:rsidR="00B921EA" w:rsidRDefault="00BE3086">
      <w:pPr>
        <w:numPr>
          <w:ilvl w:val="0"/>
          <w:numId w:val="6"/>
        </w:numPr>
        <w:shd w:val="clear" w:color="auto" w:fill="FFFFFF"/>
        <w:rPr>
          <w:color w:val="000000"/>
          <w:sz w:val="27"/>
          <w:szCs w:val="27"/>
        </w:rPr>
      </w:pPr>
      <w:hyperlink r:id="rId27">
        <w:r>
          <w:rPr>
            <w:i/>
            <w:color w:val="0000FF"/>
            <w:sz w:val="27"/>
            <w:szCs w:val="27"/>
            <w:u w:val="single"/>
          </w:rPr>
          <w:t>Vaccinium</w:t>
        </w:r>
      </w:hyperlink>
      <w:hyperlink r:id="rId28">
        <w:r>
          <w:rPr>
            <w:color w:val="0000FF"/>
            <w:sz w:val="27"/>
            <w:szCs w:val="27"/>
            <w:u w:val="single"/>
          </w:rPr>
          <w:t> </w:t>
        </w:r>
        <w:proofErr w:type="spellStart"/>
      </w:hyperlink>
      <w:hyperlink r:id="rId29">
        <w:r>
          <w:rPr>
            <w:i/>
            <w:color w:val="0000FF"/>
            <w:sz w:val="27"/>
            <w:szCs w:val="27"/>
            <w:u w:val="single"/>
          </w:rPr>
          <w:t>oxycoccos</w:t>
        </w:r>
        <w:proofErr w:type="spellEnd"/>
      </w:hyperlink>
      <w:hyperlink r:id="rId30">
        <w:r>
          <w:rPr>
            <w:color w:val="0000FF"/>
            <w:sz w:val="27"/>
            <w:szCs w:val="27"/>
            <w:u w:val="single"/>
          </w:rPr>
          <w:t> L.</w:t>
        </w:r>
      </w:hyperlink>
      <w:r>
        <w:rPr>
          <w:color w:val="000000"/>
          <w:sz w:val="27"/>
          <w:szCs w:val="27"/>
        </w:rPr>
        <w:t xml:space="preserve"> </w:t>
      </w:r>
    </w:p>
    <w:p w14:paraId="451AED46" w14:textId="77777777" w:rsidR="00B921EA" w:rsidRDefault="00BE3086">
      <w:r>
        <w:rPr>
          <w:color w:val="000000"/>
          <w:sz w:val="27"/>
          <w:szCs w:val="27"/>
        </w:rPr>
        <w:br/>
      </w:r>
      <w:r>
        <w:rPr>
          <w:b/>
          <w:color w:val="000000"/>
          <w:sz w:val="27"/>
          <w:szCs w:val="27"/>
          <w:highlight w:val="white"/>
        </w:rPr>
        <w:t>Crop: LINGONBERRY</w:t>
      </w:r>
      <w:r>
        <w:rPr>
          <w:color w:val="000000"/>
          <w:sz w:val="27"/>
          <w:szCs w:val="27"/>
        </w:rPr>
        <w:br/>
      </w:r>
      <w:r>
        <w:rPr>
          <w:color w:val="000000"/>
          <w:sz w:val="27"/>
          <w:szCs w:val="27"/>
          <w:highlight w:val="white"/>
        </w:rPr>
        <w:t>(compiled by Dr. Blanca León)</w:t>
      </w:r>
    </w:p>
    <w:p w14:paraId="451AED47" w14:textId="77777777" w:rsidR="00B921EA" w:rsidRDefault="00BE3086">
      <w:pPr>
        <w:shd w:val="clear" w:color="auto" w:fill="FFFFFF"/>
        <w:ind w:firstLine="259"/>
        <w:rPr>
          <w:color w:val="000000"/>
          <w:sz w:val="27"/>
          <w:szCs w:val="27"/>
        </w:rPr>
      </w:pPr>
      <w:r>
        <w:rPr>
          <w:b/>
          <w:color w:val="000000"/>
          <w:sz w:val="27"/>
          <w:szCs w:val="27"/>
        </w:rPr>
        <w:t>Crop taxon:</w:t>
      </w:r>
    </w:p>
    <w:p w14:paraId="451AED48" w14:textId="77777777" w:rsidR="00B921EA" w:rsidRDefault="00BE3086">
      <w:pPr>
        <w:numPr>
          <w:ilvl w:val="0"/>
          <w:numId w:val="7"/>
        </w:numPr>
        <w:shd w:val="clear" w:color="auto" w:fill="FFFFFF"/>
        <w:rPr>
          <w:color w:val="000000"/>
          <w:sz w:val="27"/>
          <w:szCs w:val="27"/>
        </w:rPr>
      </w:pPr>
      <w:hyperlink r:id="rId31">
        <w:r>
          <w:rPr>
            <w:b/>
            <w:i/>
            <w:color w:val="0000FF"/>
            <w:sz w:val="27"/>
            <w:szCs w:val="27"/>
            <w:u w:val="single"/>
          </w:rPr>
          <w:t>Vaccinium</w:t>
        </w:r>
      </w:hyperlink>
      <w:hyperlink r:id="rId32">
        <w:r>
          <w:rPr>
            <w:b/>
            <w:color w:val="0000FF"/>
            <w:sz w:val="27"/>
            <w:szCs w:val="27"/>
            <w:u w:val="single"/>
          </w:rPr>
          <w:t> </w:t>
        </w:r>
      </w:hyperlink>
      <w:hyperlink r:id="rId33">
        <w:r>
          <w:rPr>
            <w:b/>
            <w:i/>
            <w:color w:val="0000FF"/>
            <w:sz w:val="27"/>
            <w:szCs w:val="27"/>
            <w:u w:val="single"/>
          </w:rPr>
          <w:t>vitis-idaea</w:t>
        </w:r>
      </w:hyperlink>
      <w:hyperlink r:id="rId34">
        <w:r>
          <w:rPr>
            <w:b/>
            <w:color w:val="0000FF"/>
            <w:sz w:val="27"/>
            <w:szCs w:val="27"/>
            <w:u w:val="single"/>
          </w:rPr>
          <w:t> L.</w:t>
        </w:r>
      </w:hyperlink>
      <w:r>
        <w:rPr>
          <w:b/>
          <w:color w:val="000000"/>
          <w:sz w:val="27"/>
          <w:szCs w:val="27"/>
        </w:rPr>
        <w:t> – lingonberry</w:t>
      </w:r>
    </w:p>
    <w:p w14:paraId="451AED49" w14:textId="77777777" w:rsidR="00B921EA" w:rsidRDefault="00BE3086">
      <w:pPr>
        <w:shd w:val="clear" w:color="auto" w:fill="FFFFFF"/>
        <w:ind w:firstLine="259"/>
        <w:rPr>
          <w:color w:val="000000"/>
          <w:sz w:val="27"/>
          <w:szCs w:val="27"/>
        </w:rPr>
      </w:pPr>
      <w:r>
        <w:rPr>
          <w:b/>
          <w:color w:val="000000"/>
          <w:sz w:val="27"/>
          <w:szCs w:val="27"/>
        </w:rPr>
        <w:t>Crop wild relatives:</w:t>
      </w:r>
    </w:p>
    <w:p w14:paraId="451AED4A" w14:textId="77777777" w:rsidR="00B921EA" w:rsidRDefault="00BE3086">
      <w:pPr>
        <w:shd w:val="clear" w:color="auto" w:fill="FFFFFF"/>
        <w:ind w:firstLine="259"/>
        <w:rPr>
          <w:color w:val="000000"/>
          <w:sz w:val="27"/>
          <w:szCs w:val="27"/>
        </w:rPr>
      </w:pPr>
      <w:r>
        <w:rPr>
          <w:b/>
          <w:color w:val="9F141A"/>
          <w:sz w:val="27"/>
          <w:szCs w:val="27"/>
        </w:rPr>
        <w:t>Primary</w:t>
      </w:r>
    </w:p>
    <w:p w14:paraId="451AED4B" w14:textId="77777777" w:rsidR="00B921EA" w:rsidRDefault="00BE3086">
      <w:pPr>
        <w:numPr>
          <w:ilvl w:val="0"/>
          <w:numId w:val="8"/>
        </w:numPr>
        <w:shd w:val="clear" w:color="auto" w:fill="FFFFFF"/>
        <w:rPr>
          <w:color w:val="000000"/>
          <w:sz w:val="27"/>
          <w:szCs w:val="27"/>
        </w:rPr>
      </w:pPr>
      <w:hyperlink r:id="rId35">
        <w:r>
          <w:rPr>
            <w:i/>
            <w:color w:val="0000FF"/>
            <w:sz w:val="27"/>
            <w:szCs w:val="27"/>
            <w:u w:val="single"/>
          </w:rPr>
          <w:t>Vaccinium</w:t>
        </w:r>
      </w:hyperlink>
      <w:hyperlink r:id="rId36">
        <w:r>
          <w:rPr>
            <w:color w:val="0000FF"/>
            <w:sz w:val="27"/>
            <w:szCs w:val="27"/>
            <w:u w:val="single"/>
          </w:rPr>
          <w:t> </w:t>
        </w:r>
      </w:hyperlink>
      <w:hyperlink r:id="rId37">
        <w:r>
          <w:rPr>
            <w:i/>
            <w:color w:val="0000FF"/>
            <w:sz w:val="27"/>
            <w:szCs w:val="27"/>
            <w:u w:val="single"/>
          </w:rPr>
          <w:t>vitis-idaea</w:t>
        </w:r>
      </w:hyperlink>
      <w:hyperlink r:id="rId38">
        <w:r>
          <w:rPr>
            <w:color w:val="0000FF"/>
            <w:sz w:val="27"/>
            <w:szCs w:val="27"/>
            <w:u w:val="single"/>
          </w:rPr>
          <w:t> L.</w:t>
        </w:r>
      </w:hyperlink>
      <w:r>
        <w:rPr>
          <w:color w:val="000000"/>
          <w:sz w:val="27"/>
          <w:szCs w:val="27"/>
        </w:rPr>
        <w:t> [wild types]</w:t>
      </w:r>
      <w:r>
        <w:rPr>
          <w:sz w:val="27"/>
          <w:szCs w:val="27"/>
        </w:rPr>
        <w:t xml:space="preserve"> </w:t>
      </w:r>
    </w:p>
    <w:p w14:paraId="451AED4C" w14:textId="77777777" w:rsidR="00B921EA" w:rsidRDefault="00BE3086">
      <w:pPr>
        <w:shd w:val="clear" w:color="auto" w:fill="FFFFFF"/>
        <w:ind w:firstLine="259"/>
        <w:rPr>
          <w:color w:val="000000"/>
          <w:sz w:val="27"/>
          <w:szCs w:val="27"/>
        </w:rPr>
      </w:pPr>
      <w:r>
        <w:rPr>
          <w:b/>
          <w:color w:val="9F141A"/>
          <w:sz w:val="27"/>
          <w:szCs w:val="27"/>
        </w:rPr>
        <w:t>Secondary</w:t>
      </w:r>
    </w:p>
    <w:p w14:paraId="451AED4D" w14:textId="77777777" w:rsidR="00B921EA" w:rsidRDefault="00BE3086">
      <w:pPr>
        <w:numPr>
          <w:ilvl w:val="0"/>
          <w:numId w:val="9"/>
        </w:numPr>
        <w:shd w:val="clear" w:color="auto" w:fill="FFFFFF"/>
        <w:rPr>
          <w:color w:val="000000"/>
          <w:sz w:val="27"/>
          <w:szCs w:val="27"/>
        </w:rPr>
      </w:pPr>
      <w:hyperlink r:id="rId39">
        <w:r>
          <w:rPr>
            <w:i/>
            <w:color w:val="0000FF"/>
            <w:sz w:val="27"/>
            <w:szCs w:val="27"/>
            <w:u w:val="single"/>
          </w:rPr>
          <w:t>Vaccinium</w:t>
        </w:r>
      </w:hyperlink>
      <w:hyperlink r:id="rId40">
        <w:r>
          <w:rPr>
            <w:color w:val="0000FF"/>
            <w:sz w:val="27"/>
            <w:szCs w:val="27"/>
            <w:u w:val="single"/>
          </w:rPr>
          <w:t> </w:t>
        </w:r>
      </w:hyperlink>
      <w:hyperlink r:id="rId41">
        <w:r>
          <w:rPr>
            <w:i/>
            <w:color w:val="0000FF"/>
            <w:sz w:val="27"/>
            <w:szCs w:val="27"/>
            <w:u w:val="single"/>
          </w:rPr>
          <w:t>myrtillus</w:t>
        </w:r>
      </w:hyperlink>
      <w:hyperlink r:id="rId42">
        <w:r>
          <w:rPr>
            <w:color w:val="0000FF"/>
            <w:sz w:val="27"/>
            <w:szCs w:val="27"/>
            <w:u w:val="single"/>
          </w:rPr>
          <w:t> L.</w:t>
        </w:r>
      </w:hyperlink>
      <w:r>
        <w:rPr>
          <w:color w:val="000000"/>
          <w:sz w:val="27"/>
          <w:szCs w:val="27"/>
        </w:rPr>
        <w:t xml:space="preserve"> </w:t>
      </w:r>
    </w:p>
    <w:p w14:paraId="451AED4E" w14:textId="77777777" w:rsidR="00B921EA" w:rsidRDefault="00BE3086">
      <w:pPr>
        <w:numPr>
          <w:ilvl w:val="0"/>
          <w:numId w:val="9"/>
        </w:numPr>
        <w:shd w:val="clear" w:color="auto" w:fill="FFFFFF"/>
        <w:rPr>
          <w:color w:val="000000"/>
          <w:sz w:val="27"/>
          <w:szCs w:val="27"/>
        </w:rPr>
      </w:pPr>
      <w:hyperlink r:id="rId43">
        <w:r>
          <w:rPr>
            <w:i/>
            <w:color w:val="0000FF"/>
            <w:sz w:val="27"/>
            <w:szCs w:val="27"/>
            <w:u w:val="single"/>
          </w:rPr>
          <w:t>Vaccinium</w:t>
        </w:r>
      </w:hyperlink>
      <w:hyperlink r:id="rId44">
        <w:r>
          <w:rPr>
            <w:color w:val="0000FF"/>
            <w:sz w:val="27"/>
            <w:szCs w:val="27"/>
            <w:u w:val="single"/>
          </w:rPr>
          <w:t> </w:t>
        </w:r>
        <w:proofErr w:type="spellStart"/>
      </w:hyperlink>
      <w:hyperlink r:id="rId45">
        <w:r>
          <w:rPr>
            <w:i/>
            <w:color w:val="0000FF"/>
            <w:sz w:val="27"/>
            <w:szCs w:val="27"/>
            <w:u w:val="single"/>
          </w:rPr>
          <w:t>uliginosum</w:t>
        </w:r>
        <w:proofErr w:type="spellEnd"/>
      </w:hyperlink>
      <w:hyperlink r:id="rId46">
        <w:r>
          <w:rPr>
            <w:color w:val="0000FF"/>
            <w:sz w:val="27"/>
            <w:szCs w:val="27"/>
            <w:u w:val="single"/>
          </w:rPr>
          <w:t> L.</w:t>
        </w:r>
      </w:hyperlink>
      <w:r>
        <w:rPr>
          <w:color w:val="000000"/>
          <w:sz w:val="27"/>
          <w:szCs w:val="27"/>
        </w:rPr>
        <w:t xml:space="preserve">  </w:t>
      </w:r>
    </w:p>
    <w:p w14:paraId="451AED4F" w14:textId="77777777" w:rsidR="00B921EA" w:rsidRDefault="00B921EA"/>
    <w:p w14:paraId="451AED50" w14:textId="77777777" w:rsidR="00B921EA" w:rsidRDefault="00BE3086">
      <w:pPr>
        <w:numPr>
          <w:ilvl w:val="1"/>
          <w:numId w:val="10"/>
        </w:numPr>
        <w:rPr>
          <w:b/>
        </w:rPr>
      </w:pPr>
      <w:r>
        <w:rPr>
          <w:b/>
        </w:rPr>
        <w:t>Expanding, maintaining, and disseminating germplasm collections</w:t>
      </w:r>
    </w:p>
    <w:p w14:paraId="451AED51" w14:textId="77777777" w:rsidR="00B921EA" w:rsidRDefault="00B921EA">
      <w:pPr>
        <w:ind w:left="720"/>
        <w:rPr>
          <w:b/>
        </w:rPr>
      </w:pPr>
    </w:p>
    <w:p w14:paraId="451AED52" w14:textId="77777777" w:rsidR="00B921EA" w:rsidRDefault="00BE3086">
      <w:pPr>
        <w:numPr>
          <w:ilvl w:val="2"/>
          <w:numId w:val="10"/>
        </w:numPr>
        <w:rPr>
          <w:b/>
        </w:rPr>
      </w:pPr>
      <w:r>
        <w:rPr>
          <w:b/>
        </w:rPr>
        <w:t xml:space="preserve">Acquisitions </w:t>
      </w:r>
    </w:p>
    <w:p w14:paraId="451AED53" w14:textId="77777777" w:rsidR="00B921EA" w:rsidRDefault="00BE3086">
      <w:pPr>
        <w:numPr>
          <w:ilvl w:val="3"/>
          <w:numId w:val="10"/>
        </w:numPr>
        <w:rPr>
          <w:b/>
        </w:rPr>
      </w:pPr>
      <w:r>
        <w:rPr>
          <w:b/>
        </w:rPr>
        <w:t>Plants</w:t>
      </w:r>
      <w:r>
        <w:rPr>
          <w:b/>
        </w:rPr>
        <w:tab/>
      </w:r>
    </w:p>
    <w:p w14:paraId="451AED54" w14:textId="77777777" w:rsidR="00B921EA" w:rsidRDefault="00BE3086">
      <w:pPr>
        <w:tabs>
          <w:tab w:val="left" w:pos="1440"/>
        </w:tabs>
      </w:pPr>
      <w:r>
        <w:lastRenderedPageBreak/>
        <w:t>From any country plant material must be obtained from the USDA Animal and Plant Health Inspection Service.</w:t>
      </w:r>
      <w:r>
        <w:rPr>
          <w:i/>
        </w:rPr>
        <w:t xml:space="preserve"> Vaccinium</w:t>
      </w:r>
      <w:r>
        <w:t xml:space="preserve"> plants and pl</w:t>
      </w:r>
      <w:r>
        <w:t xml:space="preserve">ant parts from Canada are prohibited and a permit is required. Permits can be obtained through application the USDA APHIS PPQ </w:t>
      </w:r>
      <w:proofErr w:type="gramStart"/>
      <w:r>
        <w:t>website</w:t>
      </w:r>
      <w:proofErr w:type="gramEnd"/>
    </w:p>
    <w:p w14:paraId="451AED55" w14:textId="77777777" w:rsidR="00B921EA" w:rsidRDefault="00BE3086">
      <w:pPr>
        <w:tabs>
          <w:tab w:val="left" w:pos="1440"/>
        </w:tabs>
      </w:pPr>
      <w:hyperlink r:id="rId47">
        <w:r>
          <w:rPr>
            <w:color w:val="0000FF"/>
            <w:u w:val="single"/>
          </w:rPr>
          <w:t>http://www.aphis.usda.gov/plant_health/permits/</w:t>
        </w:r>
      </w:hyperlink>
      <w:r>
        <w:t xml:space="preserve"> </w:t>
      </w:r>
    </w:p>
    <w:p w14:paraId="451AED56" w14:textId="77777777" w:rsidR="00B921EA" w:rsidRDefault="00B921EA">
      <w:pPr>
        <w:tabs>
          <w:tab w:val="left" w:pos="1440"/>
        </w:tabs>
      </w:pPr>
    </w:p>
    <w:p w14:paraId="451AED57" w14:textId="77777777" w:rsidR="00B921EA" w:rsidRDefault="00BE3086">
      <w:pPr>
        <w:tabs>
          <w:tab w:val="left" w:pos="1440"/>
        </w:tabs>
      </w:pPr>
      <w:r>
        <w:t xml:space="preserve">APHIS works with state departments of agricultural, such as the Oregon Department of Agriculture (ODA) to provide inspection of plant material for the </w:t>
      </w:r>
      <w:r>
        <w:rPr>
          <w:i/>
        </w:rPr>
        <w:t>Vaccinium</w:t>
      </w:r>
      <w:r>
        <w:t xml:space="preserve"> </w:t>
      </w:r>
      <w:proofErr w:type="spellStart"/>
      <w:r>
        <w:t>genebank</w:t>
      </w:r>
      <w:proofErr w:type="spellEnd"/>
      <w:r>
        <w:t xml:space="preserve"> in Corvallis. </w:t>
      </w:r>
    </w:p>
    <w:p w14:paraId="451AED58" w14:textId="77777777" w:rsidR="00B921EA" w:rsidRDefault="00B921EA">
      <w:pPr>
        <w:tabs>
          <w:tab w:val="left" w:pos="1440"/>
        </w:tabs>
      </w:pPr>
    </w:p>
    <w:p w14:paraId="451AED59" w14:textId="77777777" w:rsidR="00B921EA" w:rsidRDefault="00BE3086">
      <w:pPr>
        <w:numPr>
          <w:ilvl w:val="3"/>
          <w:numId w:val="10"/>
        </w:numPr>
        <w:rPr>
          <w:b/>
        </w:rPr>
      </w:pPr>
      <w:r>
        <w:rPr>
          <w:b/>
        </w:rPr>
        <w:t>Seeds</w:t>
      </w:r>
    </w:p>
    <w:p w14:paraId="451AED5A" w14:textId="77777777" w:rsidR="00B921EA" w:rsidRDefault="00BE3086">
      <w:pPr>
        <w:tabs>
          <w:tab w:val="left" w:pos="1440"/>
        </w:tabs>
      </w:pPr>
      <w:r>
        <w:t>Fruit from foreign countries is prohibited. Seed must be extract</w:t>
      </w:r>
      <w:r>
        <w:t>ed from the fruit prior to importation from foreign sources.</w:t>
      </w:r>
    </w:p>
    <w:p w14:paraId="451AED5B" w14:textId="77777777" w:rsidR="00B921EA" w:rsidRDefault="00B921EA">
      <w:pPr>
        <w:tabs>
          <w:tab w:val="left" w:pos="1440"/>
        </w:tabs>
      </w:pPr>
    </w:p>
    <w:p w14:paraId="451AED5C" w14:textId="77777777" w:rsidR="00B921EA" w:rsidRDefault="00BE3086">
      <w:pPr>
        <w:tabs>
          <w:tab w:val="left" w:pos="1440"/>
        </w:tabs>
      </w:pPr>
      <w:r>
        <w:t>To extract seed, fruit are soaked in solution of 5% pectinase overnight. The solution is put in a blender with the blades masked. The solution and the fruit pulp are decanted. Floating seeds are</w:t>
      </w:r>
      <w:r>
        <w:t xml:space="preserve"> eliminated. The seeds that sink </w:t>
      </w:r>
      <w:proofErr w:type="gramStart"/>
      <w:r>
        <w:t>are</w:t>
      </w:r>
      <w:proofErr w:type="gramEnd"/>
      <w:r>
        <w:t xml:space="preserve"> air dried on paper towels and then dried in desiccators to about 6% moisture. Seeds can be placed in coin envelopes and placed in aluminized plastic envelopes and stored at -20</w:t>
      </w:r>
      <w:r>
        <w:rPr>
          <w:vertAlign w:val="superscript"/>
        </w:rPr>
        <w:t>o</w:t>
      </w:r>
      <w:r>
        <w:t>C. Seeds are germinated and plant represen</w:t>
      </w:r>
      <w:r>
        <w:t xml:space="preserve">tatives are chosen from vigorous seedlings. </w:t>
      </w:r>
    </w:p>
    <w:p w14:paraId="451AED5D" w14:textId="77777777" w:rsidR="00B921EA" w:rsidRDefault="00B921EA">
      <w:pPr>
        <w:tabs>
          <w:tab w:val="left" w:pos="1440"/>
        </w:tabs>
      </w:pPr>
    </w:p>
    <w:p w14:paraId="451AED5E" w14:textId="77777777" w:rsidR="00B921EA" w:rsidRDefault="00BE3086">
      <w:pPr>
        <w:numPr>
          <w:ilvl w:val="2"/>
          <w:numId w:val="10"/>
        </w:numPr>
        <w:rPr>
          <w:b/>
        </w:rPr>
      </w:pPr>
      <w:r>
        <w:rPr>
          <w:b/>
        </w:rPr>
        <w:t>Maintenance</w:t>
      </w:r>
    </w:p>
    <w:p w14:paraId="451AED5F" w14:textId="77777777" w:rsidR="00B921EA" w:rsidRDefault="00BE3086">
      <w:pPr>
        <w:numPr>
          <w:ilvl w:val="3"/>
          <w:numId w:val="10"/>
        </w:numPr>
        <w:rPr>
          <w:b/>
        </w:rPr>
      </w:pPr>
      <w:r>
        <w:rPr>
          <w:b/>
        </w:rPr>
        <w:t>Clonal storage</w:t>
      </w:r>
    </w:p>
    <w:p w14:paraId="451AED60" w14:textId="77777777" w:rsidR="00B921EA" w:rsidRDefault="00BE3086">
      <w:pPr>
        <w:tabs>
          <w:tab w:val="left" w:pos="1440"/>
        </w:tabs>
      </w:pPr>
      <w:r>
        <w:t xml:space="preserve">The </w:t>
      </w:r>
      <w:proofErr w:type="gramStart"/>
      <w:r>
        <w:t>pathogen-tested</w:t>
      </w:r>
      <w:proofErr w:type="gramEnd"/>
      <w:r>
        <w:t xml:space="preserve"> primary </w:t>
      </w:r>
      <w:r>
        <w:rPr>
          <w:i/>
        </w:rPr>
        <w:t>Vaccinium</w:t>
      </w:r>
      <w:r>
        <w:t xml:space="preserve"> collection is maintained under screen. Two containers are preserved for each genotype. The highbush cultivars are alternated with prostrate-growi</w:t>
      </w:r>
      <w:r>
        <w:t xml:space="preserve">ng accessions on benches in the screenhouse to maximize </w:t>
      </w:r>
      <w:proofErr w:type="spellStart"/>
      <w:r>
        <w:t>useage</w:t>
      </w:r>
      <w:proofErr w:type="spellEnd"/>
      <w:r>
        <w:t xml:space="preserve"> of space (Fig. 1). </w:t>
      </w:r>
    </w:p>
    <w:p w14:paraId="451AED61" w14:textId="77777777" w:rsidR="00B921EA" w:rsidRDefault="00B921EA">
      <w:pPr>
        <w:tabs>
          <w:tab w:val="left" w:pos="1440"/>
        </w:tabs>
      </w:pPr>
    </w:p>
    <w:p w14:paraId="451AED62" w14:textId="77777777" w:rsidR="00B921EA" w:rsidRDefault="00BE3086">
      <w:r>
        <w:t xml:space="preserve">We apply a pumice </w:t>
      </w:r>
      <w:proofErr w:type="spellStart"/>
      <w:r>
        <w:t>topdress</w:t>
      </w:r>
      <w:proofErr w:type="spellEnd"/>
      <w:r>
        <w:t xml:space="preserve"> (collar) to finished and intermediate sized plant material. The goal is to create a sterile (dry and inorganic) surface that will prevent weed an</w:t>
      </w:r>
      <w:r>
        <w:t xml:space="preserve">d moss growth. This also can prevent or reduce fungus gnats. </w:t>
      </w:r>
    </w:p>
    <w:p w14:paraId="451AED63" w14:textId="77777777" w:rsidR="00B921EA" w:rsidRDefault="00BE3086">
      <w:r>
        <w:t xml:space="preserve">We dibble, or bury our fertilizer under the </w:t>
      </w:r>
      <w:proofErr w:type="spellStart"/>
      <w:r>
        <w:t>topdress</w:t>
      </w:r>
      <w:proofErr w:type="spellEnd"/>
      <w:r>
        <w:t xml:space="preserve"> as part of this goal. This </w:t>
      </w:r>
      <w:proofErr w:type="spellStart"/>
      <w:r>
        <w:t>topdress</w:t>
      </w:r>
      <w:proofErr w:type="spellEnd"/>
      <w:r>
        <w:t xml:space="preserve"> combined with our stable, bark-free medium creates a growing system that greatly reduces water usage. Thi</w:t>
      </w:r>
      <w:r>
        <w:t xml:space="preserve">s in turn reduces nutrient leaching, salt build-up, and moisture stress. </w:t>
      </w:r>
    </w:p>
    <w:p w14:paraId="451AED64" w14:textId="77777777" w:rsidR="00B921EA" w:rsidRDefault="00BE3086">
      <w:r>
        <w:t xml:space="preserve">The abrupt change from fine growing medium to coarse pumice breaks the </w:t>
      </w:r>
      <w:proofErr w:type="spellStart"/>
      <w:r>
        <w:t>hydrolic</w:t>
      </w:r>
      <w:proofErr w:type="spellEnd"/>
      <w:r>
        <w:t xml:space="preserve"> conductivity between these materials and prevents capillary movement of water to the pot surface. Wate</w:t>
      </w:r>
      <w:r>
        <w:t xml:space="preserve">r in the medium is lost primarily through transpiration via stomata and not evaporation from the pot surface. </w:t>
      </w:r>
    </w:p>
    <w:p w14:paraId="451AED65" w14:textId="77777777" w:rsidR="00B921EA" w:rsidRDefault="00BE3086">
      <w:r>
        <w:t xml:space="preserve">This </w:t>
      </w:r>
      <w:proofErr w:type="spellStart"/>
      <w:r>
        <w:t>topdress</w:t>
      </w:r>
      <w:proofErr w:type="spellEnd"/>
      <w:r>
        <w:t xml:space="preserve"> is a third component to the physical structure of our growing system. The other two are: Pot height (distance of crown to perched w</w:t>
      </w:r>
      <w:r>
        <w:t>ater table) and percent free air space. Tall pots with good aeration give healthy growth. The pumice collar reduces maintenance effort (sanitation and watering) and conserves resources (nutrients). The drawback of this system is that it can be difficult to</w:t>
      </w:r>
      <w:r>
        <w:t xml:space="preserve"> evaluate moisture levels and develop a watering schedule. Scratching the surface to see moisture and pot weight are effective in gauging watering frequency. Overall, for us, the pumice </w:t>
      </w:r>
      <w:proofErr w:type="spellStart"/>
      <w:r>
        <w:t>topdress</w:t>
      </w:r>
      <w:proofErr w:type="spellEnd"/>
      <w:r>
        <w:t xml:space="preserve"> reduces significantly reduces cultural risk to containerized </w:t>
      </w:r>
      <w:r>
        <w:t>plant material.</w:t>
      </w:r>
    </w:p>
    <w:p w14:paraId="451AED66" w14:textId="77777777" w:rsidR="00B921EA" w:rsidRDefault="00BE3086">
      <w:r>
        <w:t>The pumice collar is ideal for vigorous or pot bound material that needs frequent water. If you put a pumice collar on weak or poorly rooted material that needs a well aerated medium, you can get saturated conditions and loss of material. I</w:t>
      </w:r>
      <w:r>
        <w:t xml:space="preserve">n this case, it is better to allow the plants to get </w:t>
      </w:r>
      <w:r>
        <w:lastRenderedPageBreak/>
        <w:t xml:space="preserve">established and apply the </w:t>
      </w:r>
      <w:proofErr w:type="spellStart"/>
      <w:r>
        <w:t>topdress</w:t>
      </w:r>
      <w:proofErr w:type="spellEnd"/>
      <w:r>
        <w:t xml:space="preserve"> later. I’m recommending a pumice collar for healthy, typical material. For xeric or high montane material that needs superior drainage, or has a prolonged dry dormancy,</w:t>
      </w:r>
      <w:r>
        <w:t xml:space="preserve"> a pumice collar should only be used over medium with superior porosity and only after establishment or not at all. For slow growing montane material this is a compromise between control of fungus gnats and root aeration.</w:t>
      </w:r>
    </w:p>
    <w:p w14:paraId="451AED67" w14:textId="77777777" w:rsidR="00B921EA" w:rsidRDefault="00B921EA">
      <w:pPr>
        <w:tabs>
          <w:tab w:val="left" w:pos="1440"/>
        </w:tabs>
        <w:rPr>
          <w:b/>
        </w:rPr>
      </w:pPr>
    </w:p>
    <w:p w14:paraId="451AED68" w14:textId="77777777" w:rsidR="00B921EA" w:rsidRDefault="00BE3086">
      <w:pPr>
        <w:numPr>
          <w:ilvl w:val="3"/>
          <w:numId w:val="10"/>
        </w:numPr>
        <w:rPr>
          <w:b/>
        </w:rPr>
      </w:pPr>
      <w:r>
        <w:rPr>
          <w:b/>
        </w:rPr>
        <w:t>Seed storage</w:t>
      </w:r>
    </w:p>
    <w:p w14:paraId="451AED69" w14:textId="77777777" w:rsidR="00B921EA" w:rsidRDefault="00BE3086">
      <w:pPr>
        <w:tabs>
          <w:tab w:val="left" w:pos="1440"/>
        </w:tabs>
        <w:rPr>
          <w:b/>
        </w:rPr>
      </w:pPr>
      <w:r>
        <w:t>After collection and</w:t>
      </w:r>
      <w:r>
        <w:t xml:space="preserve"> extraction, seeds are put into manila seed envelops and then into plastic-aluminum envelops for storage in -20</w:t>
      </w:r>
      <w:r>
        <w:rPr>
          <w:vertAlign w:val="superscript"/>
        </w:rPr>
        <w:t>o</w:t>
      </w:r>
      <w:r>
        <w:t xml:space="preserve">C chest freezers in Corvallis. With quantities above 2,000, roughly half are shipped to USDA Ft. Collins, Colorado, and about one quarter are shipped to Svalbard Global Seed Vault in Norway for long term remote conservation. </w:t>
      </w:r>
    </w:p>
    <w:p w14:paraId="451AED6A" w14:textId="77777777" w:rsidR="00B921EA" w:rsidRDefault="00B921EA">
      <w:pPr>
        <w:rPr>
          <w:b/>
        </w:rPr>
      </w:pPr>
    </w:p>
    <w:p w14:paraId="451AED6B" w14:textId="77777777" w:rsidR="00B921EA" w:rsidRDefault="00BE3086">
      <w:pPr>
        <w:numPr>
          <w:ilvl w:val="2"/>
          <w:numId w:val="10"/>
        </w:numPr>
        <w:rPr>
          <w:b/>
        </w:rPr>
      </w:pPr>
      <w:r>
        <w:rPr>
          <w:b/>
        </w:rPr>
        <w:t>Distributions and outreach</w:t>
      </w:r>
    </w:p>
    <w:p w14:paraId="451AED6C" w14:textId="77777777" w:rsidR="00B921EA" w:rsidRDefault="00BE3086">
      <w:pPr>
        <w:tabs>
          <w:tab w:val="left" w:pos="1440"/>
        </w:tabs>
        <w:rPr>
          <w:b/>
        </w:rPr>
      </w:pPr>
      <w:r>
        <w:t>Cr</w:t>
      </w:r>
      <w:r>
        <w:t>anberries are distributed as stem cuttings, tissue cultures, pollen, flowers, leaves, or seed. For most plant requests, cuttings are available for distribution during the dormant season from November through January. Cold stored tissue cultured plants in p</w:t>
      </w:r>
      <w:r>
        <w:t>lastic packets (depending on availability</w:t>
      </w:r>
      <w:proofErr w:type="gramStart"/>
      <w:r>
        <w:t>)</w:t>
      </w:r>
      <w:proofErr w:type="gramEnd"/>
      <w:r>
        <w:t xml:space="preserve"> or seeds can be distributed any time of year. </w:t>
      </w:r>
    </w:p>
    <w:p w14:paraId="451AED6D" w14:textId="77777777" w:rsidR="00B921EA" w:rsidRDefault="00B921EA">
      <w:pPr>
        <w:rPr>
          <w:b/>
        </w:rPr>
      </w:pPr>
    </w:p>
    <w:p w14:paraId="451AED6E" w14:textId="77777777" w:rsidR="00B921EA" w:rsidRDefault="00B921EA">
      <w:pPr>
        <w:rPr>
          <w:b/>
        </w:rPr>
      </w:pPr>
    </w:p>
    <w:p w14:paraId="451AED6F" w14:textId="77777777" w:rsidR="00B921EA" w:rsidRDefault="00BE3086">
      <w:pPr>
        <w:numPr>
          <w:ilvl w:val="1"/>
          <w:numId w:val="10"/>
        </w:numPr>
        <w:rPr>
          <w:b/>
        </w:rPr>
      </w:pPr>
      <w:r>
        <w:rPr>
          <w:b/>
        </w:rPr>
        <w:t>Additional information about the National Clonal Germplasm Repository cranberry collection</w:t>
      </w:r>
    </w:p>
    <w:p w14:paraId="451AED70" w14:textId="77777777" w:rsidR="00B921EA" w:rsidRDefault="00BE3086">
      <w:pPr>
        <w:rPr>
          <w:color w:val="000000"/>
        </w:rPr>
      </w:pPr>
      <w:r>
        <w:t>Information about the National Clonal Germplasm Repository is available f</w:t>
      </w:r>
      <w:r>
        <w:t xml:space="preserve">rom the NCGR website: </w:t>
      </w:r>
      <w:hyperlink r:id="rId48">
        <w:r>
          <w:rPr>
            <w:color w:val="0000FF"/>
            <w:u w:val="single"/>
          </w:rPr>
          <w:t>http://www.ars.usda.gov/main/site_main.htm?modecode=53-58-15-00</w:t>
        </w:r>
      </w:hyperlink>
      <w:r>
        <w:t xml:space="preserve">. </w:t>
      </w:r>
      <w:r>
        <w:rPr>
          <w:color w:val="000000"/>
        </w:rPr>
        <w:t>Cranberry information is searchable on the new GRIN-G</w:t>
      </w:r>
      <w:r>
        <w:rPr>
          <w:color w:val="000000"/>
        </w:rPr>
        <w:t>lobal database</w:t>
      </w:r>
      <w:r>
        <w:t xml:space="preserve">: </w:t>
      </w:r>
      <w:hyperlink r:id="rId49">
        <w:r>
          <w:rPr>
            <w:color w:val="1155CC"/>
            <w:u w:val="single"/>
          </w:rPr>
          <w:t>https://npgsweb.ars-grin.gov/gringlobal/taxon/taxonomysearch</w:t>
        </w:r>
      </w:hyperlink>
      <w:r>
        <w:t>. This database contains passport information, genotypic characteri</w:t>
      </w:r>
      <w:r>
        <w:t>zations, and phenotypic evaluations of many accessions.</w:t>
      </w:r>
      <w:r>
        <w:rPr>
          <w:color w:val="000000"/>
        </w:rPr>
        <w:tab/>
      </w:r>
    </w:p>
    <w:p w14:paraId="451AED71" w14:textId="77777777" w:rsidR="00B921EA" w:rsidRDefault="00B921EA"/>
    <w:p w14:paraId="451AED72" w14:textId="77777777" w:rsidR="00B921EA" w:rsidRDefault="00BE3086">
      <w:pPr>
        <w:numPr>
          <w:ilvl w:val="2"/>
          <w:numId w:val="10"/>
        </w:numPr>
        <w:rPr>
          <w:b/>
        </w:rPr>
      </w:pPr>
      <w:r>
        <w:rPr>
          <w:b/>
        </w:rPr>
        <w:t>Significant accomplishments</w:t>
      </w:r>
    </w:p>
    <w:p w14:paraId="451AED73" w14:textId="77777777" w:rsidR="00B921EA" w:rsidRDefault="00B921EA">
      <w:pPr>
        <w:rPr>
          <w:b/>
        </w:rPr>
      </w:pPr>
    </w:p>
    <w:p w14:paraId="451AED74" w14:textId="77777777" w:rsidR="00B921EA" w:rsidRDefault="00BE3086">
      <w:pPr>
        <w:numPr>
          <w:ilvl w:val="0"/>
          <w:numId w:val="1"/>
        </w:numPr>
      </w:pPr>
      <w:r>
        <w:t xml:space="preserve">Significant plant collections from the US in multiple collecting trips over 30 years. </w:t>
      </w:r>
    </w:p>
    <w:p w14:paraId="451AED75" w14:textId="77777777" w:rsidR="00B921EA" w:rsidRDefault="00BE3086">
      <w:pPr>
        <w:numPr>
          <w:ilvl w:val="0"/>
          <w:numId w:val="1"/>
        </w:numPr>
      </w:pPr>
      <w:r>
        <w:t xml:space="preserve">Significant plant collections of </w:t>
      </w:r>
      <w:proofErr w:type="gramStart"/>
      <w:r>
        <w:t>blueberry</w:t>
      </w:r>
      <w:proofErr w:type="gramEnd"/>
      <w:r>
        <w:t xml:space="preserve"> crop wild relatives were obtained from Canada, Japan, China, Russia, and Vietnam (Hummer et al. 2016)</w:t>
      </w:r>
    </w:p>
    <w:p w14:paraId="451AED76" w14:textId="77777777" w:rsidR="00B921EA" w:rsidRDefault="00BE3086">
      <w:pPr>
        <w:numPr>
          <w:ilvl w:val="0"/>
          <w:numId w:val="1"/>
        </w:numPr>
      </w:pPr>
      <w:r>
        <w:t>Conservation of heritage</w:t>
      </w:r>
      <w:r>
        <w:t xml:space="preserve"> cranberries dating back to the 1800s.</w:t>
      </w:r>
    </w:p>
    <w:p w14:paraId="451AED77" w14:textId="77777777" w:rsidR="00B921EA" w:rsidRDefault="00BE3086">
      <w:pPr>
        <w:numPr>
          <w:ilvl w:val="0"/>
          <w:numId w:val="1"/>
        </w:numPr>
      </w:pPr>
      <w:r>
        <w:t xml:space="preserve">Tissue culture core cultivars and species clones in the NCGR-Corvallis and at the NCGRP Ft. Collins. </w:t>
      </w:r>
    </w:p>
    <w:p w14:paraId="451AED78" w14:textId="77777777" w:rsidR="00B921EA" w:rsidRDefault="00BE3086">
      <w:pPr>
        <w:numPr>
          <w:ilvl w:val="0"/>
          <w:numId w:val="1"/>
        </w:numPr>
      </w:pPr>
      <w:r>
        <w:t xml:space="preserve">Wild cranberry populations in National Forests across the US are under evaluation for potential as in situ genetic </w:t>
      </w:r>
      <w:r>
        <w:t xml:space="preserve">reserves (USDA-ARS, USFS, Univ. of Wisconsin).  </w:t>
      </w:r>
      <w:r>
        <w:rPr>
          <w:b/>
        </w:rPr>
        <w:br/>
      </w:r>
    </w:p>
    <w:p w14:paraId="451AED79" w14:textId="77777777" w:rsidR="00B921EA" w:rsidRDefault="00BE3086">
      <w:pPr>
        <w:numPr>
          <w:ilvl w:val="2"/>
          <w:numId w:val="10"/>
        </w:numPr>
        <w:rPr>
          <w:b/>
        </w:rPr>
      </w:pPr>
      <w:r>
        <w:rPr>
          <w:b/>
          <w:color w:val="000000"/>
        </w:rPr>
        <w:t xml:space="preserve">Future </w:t>
      </w:r>
      <w:r>
        <w:rPr>
          <w:b/>
        </w:rPr>
        <w:t>g</w:t>
      </w:r>
      <w:r>
        <w:rPr>
          <w:b/>
          <w:color w:val="000000"/>
        </w:rPr>
        <w:t>oals and emphases</w:t>
      </w:r>
    </w:p>
    <w:p w14:paraId="451AED7A" w14:textId="77777777" w:rsidR="00B921EA" w:rsidRDefault="00B921EA">
      <w:pPr>
        <w:pBdr>
          <w:top w:val="nil"/>
          <w:left w:val="nil"/>
          <w:bottom w:val="nil"/>
          <w:right w:val="nil"/>
          <w:between w:val="nil"/>
        </w:pBdr>
        <w:rPr>
          <w:b/>
          <w:color w:val="000000"/>
        </w:rPr>
      </w:pPr>
    </w:p>
    <w:p w14:paraId="451AED7B" w14:textId="77777777" w:rsidR="00B921EA" w:rsidRDefault="00BE3086">
      <w:pPr>
        <w:numPr>
          <w:ilvl w:val="0"/>
          <w:numId w:val="3"/>
        </w:numPr>
        <w:pBdr>
          <w:top w:val="nil"/>
          <w:left w:val="nil"/>
          <w:bottom w:val="nil"/>
          <w:right w:val="nil"/>
          <w:between w:val="nil"/>
        </w:pBdr>
        <w:ind w:left="720"/>
        <w:rPr>
          <w:b/>
          <w:color w:val="000000"/>
        </w:rPr>
      </w:pPr>
      <w:r>
        <w:t xml:space="preserve">Obtain primary, secondary, tertiary crop wild relatives of cranberry with favorable or novel fruit quality, resistance to pests and diseases, and tolerance to abiotic </w:t>
      </w:r>
      <w:proofErr w:type="gramStart"/>
      <w:r>
        <w:t>stresses</w:t>
      </w:r>
      <w:proofErr w:type="gramEnd"/>
    </w:p>
    <w:p w14:paraId="451AED7C" w14:textId="77777777" w:rsidR="00B921EA" w:rsidRDefault="00BE3086">
      <w:pPr>
        <w:numPr>
          <w:ilvl w:val="0"/>
          <w:numId w:val="3"/>
        </w:numPr>
        <w:pBdr>
          <w:top w:val="nil"/>
          <w:left w:val="nil"/>
          <w:bottom w:val="nil"/>
          <w:right w:val="nil"/>
          <w:between w:val="nil"/>
        </w:pBdr>
        <w:ind w:left="720"/>
        <w:rPr>
          <w:b/>
          <w:color w:val="000000"/>
        </w:rPr>
      </w:pPr>
      <w:r>
        <w:rPr>
          <w:color w:val="000000"/>
        </w:rPr>
        <w:t xml:space="preserve">Obtain heritage cultivars from state agricultural experiment stations or elsewhere in the </w:t>
      </w:r>
      <w:proofErr w:type="gramStart"/>
      <w:r>
        <w:rPr>
          <w:color w:val="000000"/>
        </w:rPr>
        <w:t>US</w:t>
      </w:r>
      <w:proofErr w:type="gramEnd"/>
    </w:p>
    <w:p w14:paraId="451AED7D" w14:textId="77777777" w:rsidR="00B921EA" w:rsidRDefault="00BE3086">
      <w:pPr>
        <w:numPr>
          <w:ilvl w:val="0"/>
          <w:numId w:val="3"/>
        </w:numPr>
        <w:pBdr>
          <w:top w:val="nil"/>
          <w:left w:val="nil"/>
          <w:bottom w:val="nil"/>
          <w:right w:val="nil"/>
          <w:between w:val="nil"/>
        </w:pBdr>
        <w:ind w:left="720"/>
        <w:rPr>
          <w:color w:val="000000"/>
        </w:rPr>
      </w:pPr>
      <w:r>
        <w:rPr>
          <w:color w:val="000000"/>
        </w:rPr>
        <w:t xml:space="preserve">Obtain wild cranberry relatives from Asia to Northern America </w:t>
      </w:r>
    </w:p>
    <w:p w14:paraId="451AED7E" w14:textId="77777777" w:rsidR="00B921EA" w:rsidRDefault="00BE3086">
      <w:pPr>
        <w:numPr>
          <w:ilvl w:val="0"/>
          <w:numId w:val="3"/>
        </w:numPr>
        <w:pBdr>
          <w:top w:val="nil"/>
          <w:left w:val="nil"/>
          <w:bottom w:val="nil"/>
          <w:right w:val="nil"/>
          <w:between w:val="nil"/>
        </w:pBdr>
        <w:ind w:left="720"/>
        <w:rPr>
          <w:color w:val="000000"/>
        </w:rPr>
      </w:pPr>
      <w:r>
        <w:rPr>
          <w:color w:val="000000"/>
        </w:rPr>
        <w:t>Analysis of fruit content variability within the genus</w:t>
      </w:r>
    </w:p>
    <w:p w14:paraId="451AED7F" w14:textId="77777777" w:rsidR="00B921EA" w:rsidRDefault="00BE3086">
      <w:pPr>
        <w:numPr>
          <w:ilvl w:val="0"/>
          <w:numId w:val="3"/>
        </w:numPr>
        <w:pBdr>
          <w:top w:val="nil"/>
          <w:left w:val="nil"/>
          <w:bottom w:val="nil"/>
          <w:right w:val="nil"/>
          <w:between w:val="nil"/>
        </w:pBdr>
        <w:ind w:left="720"/>
        <w:rPr>
          <w:color w:val="000000"/>
        </w:rPr>
      </w:pPr>
      <w:r>
        <w:lastRenderedPageBreak/>
        <w:t>Develop molecular markers, SNPs, or sequencin</w:t>
      </w:r>
      <w:r>
        <w:t xml:space="preserve">g to distinguish cultivars at the </w:t>
      </w:r>
      <w:proofErr w:type="spellStart"/>
      <w:r>
        <w:t>subclonal</w:t>
      </w:r>
      <w:proofErr w:type="spellEnd"/>
      <w:r>
        <w:t xml:space="preserve"> level.</w:t>
      </w:r>
    </w:p>
    <w:p w14:paraId="451AED80" w14:textId="77777777" w:rsidR="00B921EA" w:rsidRDefault="00BE3086">
      <w:pPr>
        <w:numPr>
          <w:ilvl w:val="0"/>
          <w:numId w:val="3"/>
        </w:numPr>
        <w:pBdr>
          <w:top w:val="nil"/>
          <w:left w:val="nil"/>
          <w:bottom w:val="nil"/>
          <w:right w:val="nil"/>
          <w:between w:val="nil"/>
        </w:pBdr>
        <w:ind w:left="720"/>
        <w:rPr>
          <w:color w:val="000000"/>
        </w:rPr>
      </w:pPr>
      <w:r>
        <w:t>Screen cranberry germplasm for resistance for the regionally important key insects and diseases</w:t>
      </w:r>
    </w:p>
    <w:p w14:paraId="451AED81" w14:textId="77777777" w:rsidR="00B921EA" w:rsidRDefault="00BE3086">
      <w:pPr>
        <w:numPr>
          <w:ilvl w:val="0"/>
          <w:numId w:val="3"/>
        </w:numPr>
        <w:pBdr>
          <w:top w:val="nil"/>
          <w:left w:val="nil"/>
          <w:bottom w:val="nil"/>
          <w:right w:val="nil"/>
          <w:between w:val="nil"/>
        </w:pBdr>
        <w:ind w:left="720"/>
        <w:rPr>
          <w:color w:val="000000"/>
        </w:rPr>
      </w:pPr>
      <w:r>
        <w:t>Improve efficiency of containerized collections of cranberry plants for long-term conservation.</w:t>
      </w:r>
    </w:p>
    <w:p w14:paraId="451AED82" w14:textId="77777777" w:rsidR="00B921EA" w:rsidRDefault="00BE3086">
      <w:pPr>
        <w:numPr>
          <w:ilvl w:val="0"/>
          <w:numId w:val="3"/>
        </w:numPr>
        <w:pBdr>
          <w:top w:val="nil"/>
          <w:left w:val="nil"/>
          <w:bottom w:val="nil"/>
          <w:right w:val="nil"/>
          <w:between w:val="nil"/>
        </w:pBdr>
        <w:ind w:left="720"/>
        <w:rPr>
          <w:color w:val="000000"/>
        </w:rPr>
      </w:pPr>
      <w:r>
        <w:t xml:space="preserve">Regenerate </w:t>
      </w:r>
      <w:proofErr w:type="spellStart"/>
      <w:r>
        <w:t>se</w:t>
      </w:r>
      <w:r>
        <w:t>edlots</w:t>
      </w:r>
      <w:proofErr w:type="spellEnd"/>
      <w:r>
        <w:t xml:space="preserve"> of accessions that were wild collected for more availability to requestors.</w:t>
      </w:r>
    </w:p>
    <w:p w14:paraId="451AED83" w14:textId="77777777" w:rsidR="00B921EA" w:rsidRDefault="00BE3086">
      <w:pPr>
        <w:numPr>
          <w:ilvl w:val="0"/>
          <w:numId w:val="3"/>
        </w:numPr>
        <w:pBdr>
          <w:top w:val="nil"/>
          <w:left w:val="nil"/>
          <w:bottom w:val="nil"/>
          <w:right w:val="nil"/>
          <w:between w:val="nil"/>
        </w:pBdr>
        <w:ind w:left="720"/>
        <w:rPr>
          <w:color w:val="000000"/>
        </w:rPr>
      </w:pPr>
      <w:r>
        <w:t xml:space="preserve">Continue and expand on-going </w:t>
      </w:r>
      <w:r>
        <w:rPr>
          <w:i/>
        </w:rPr>
        <w:t xml:space="preserve">in situ </w:t>
      </w:r>
      <w:r>
        <w:t xml:space="preserve">efforts for cranberry conservation. </w:t>
      </w:r>
    </w:p>
    <w:p w14:paraId="451AED84" w14:textId="77777777" w:rsidR="00B921EA" w:rsidRDefault="00B921EA">
      <w:pPr>
        <w:pBdr>
          <w:top w:val="nil"/>
          <w:left w:val="nil"/>
          <w:bottom w:val="nil"/>
          <w:right w:val="nil"/>
          <w:between w:val="nil"/>
        </w:pBdr>
        <w:rPr>
          <w:b/>
        </w:rPr>
      </w:pPr>
    </w:p>
    <w:p w14:paraId="451AED85" w14:textId="77777777" w:rsidR="00B921EA" w:rsidRDefault="00BE3086">
      <w:pPr>
        <w:numPr>
          <w:ilvl w:val="2"/>
          <w:numId w:val="10"/>
        </w:numPr>
        <w:rPr>
          <w:b/>
        </w:rPr>
      </w:pPr>
      <w:r>
        <w:rPr>
          <w:b/>
        </w:rPr>
        <w:t>Curatorial, managerial and research capacities and tools</w:t>
      </w:r>
    </w:p>
    <w:p w14:paraId="451AED86" w14:textId="77777777" w:rsidR="00B921EA" w:rsidRDefault="00B921EA">
      <w:pPr>
        <w:pBdr>
          <w:top w:val="nil"/>
          <w:left w:val="nil"/>
          <w:bottom w:val="nil"/>
          <w:right w:val="nil"/>
          <w:between w:val="nil"/>
        </w:pBdr>
        <w:rPr>
          <w:b/>
        </w:rPr>
      </w:pPr>
    </w:p>
    <w:p w14:paraId="451AED87" w14:textId="77777777" w:rsidR="00B921EA" w:rsidRDefault="00BE3086">
      <w:pPr>
        <w:pBdr>
          <w:top w:val="nil"/>
          <w:left w:val="nil"/>
          <w:bottom w:val="nil"/>
          <w:right w:val="nil"/>
          <w:between w:val="nil"/>
        </w:pBdr>
        <w:rPr>
          <w:b/>
          <w:color w:val="000000"/>
        </w:rPr>
      </w:pPr>
      <w:r>
        <w:rPr>
          <w:b/>
          <w:color w:val="000000"/>
        </w:rPr>
        <w:t xml:space="preserve">Staffing for </w:t>
      </w:r>
      <w:r>
        <w:rPr>
          <w:b/>
          <w:i/>
          <w:color w:val="000000"/>
        </w:rPr>
        <w:t>Vaccinium</w:t>
      </w:r>
      <w:r>
        <w:rPr>
          <w:b/>
          <w:color w:val="000000"/>
        </w:rPr>
        <w:t xml:space="preserve"> management</w:t>
      </w:r>
    </w:p>
    <w:p w14:paraId="451AED88" w14:textId="77777777" w:rsidR="00B921EA" w:rsidRDefault="00BE3086">
      <w:pPr>
        <w:pBdr>
          <w:top w:val="nil"/>
          <w:left w:val="nil"/>
          <w:bottom w:val="nil"/>
          <w:right w:val="nil"/>
          <w:between w:val="nil"/>
        </w:pBdr>
        <w:ind w:left="720"/>
        <w:rPr>
          <w:color w:val="000000"/>
        </w:rPr>
      </w:pPr>
      <w:r>
        <w:rPr>
          <w:color w:val="000000"/>
        </w:rPr>
        <w:t xml:space="preserve">0.1 FTE Cat. 4 support scientist Curator </w:t>
      </w:r>
    </w:p>
    <w:p w14:paraId="451AED89" w14:textId="77777777" w:rsidR="00B921EA" w:rsidRDefault="00BE3086">
      <w:pPr>
        <w:pBdr>
          <w:top w:val="nil"/>
          <w:left w:val="nil"/>
          <w:bottom w:val="nil"/>
          <w:right w:val="nil"/>
          <w:between w:val="nil"/>
        </w:pBdr>
        <w:ind w:left="720"/>
        <w:rPr>
          <w:color w:val="000000"/>
        </w:rPr>
      </w:pPr>
      <w:r>
        <w:rPr>
          <w:color w:val="000000"/>
        </w:rPr>
        <w:t xml:space="preserve">0.1 FTE Cat. 4 plant pathologist/ testing and clean </w:t>
      </w:r>
      <w:proofErr w:type="gramStart"/>
      <w:r>
        <w:rPr>
          <w:color w:val="000000"/>
        </w:rPr>
        <w:t>up</w:t>
      </w:r>
      <w:proofErr w:type="gramEnd"/>
    </w:p>
    <w:p w14:paraId="451AED8A" w14:textId="77777777" w:rsidR="00B921EA" w:rsidRDefault="00BE3086">
      <w:pPr>
        <w:pBdr>
          <w:top w:val="nil"/>
          <w:left w:val="nil"/>
          <w:bottom w:val="nil"/>
          <w:right w:val="nil"/>
          <w:between w:val="nil"/>
        </w:pBdr>
        <w:ind w:left="720"/>
        <w:rPr>
          <w:color w:val="000000"/>
        </w:rPr>
      </w:pPr>
      <w:r>
        <w:rPr>
          <w:color w:val="000000"/>
        </w:rPr>
        <w:t xml:space="preserve">0.1 FTE Cat. 4 </w:t>
      </w:r>
      <w:proofErr w:type="gramStart"/>
      <w:r>
        <w:rPr>
          <w:color w:val="000000"/>
        </w:rPr>
        <w:t>geneticist</w:t>
      </w:r>
      <w:proofErr w:type="gramEnd"/>
      <w:r>
        <w:rPr>
          <w:color w:val="000000"/>
        </w:rPr>
        <w:t xml:space="preserve"> for identity confirmation/diversity asses</w:t>
      </w:r>
      <w:r>
        <w:rPr>
          <w:color w:val="000000"/>
        </w:rPr>
        <w:t>sment</w:t>
      </w:r>
    </w:p>
    <w:p w14:paraId="451AED8B" w14:textId="77777777" w:rsidR="00B921EA" w:rsidRDefault="00BE3086">
      <w:pPr>
        <w:pBdr>
          <w:top w:val="nil"/>
          <w:left w:val="nil"/>
          <w:bottom w:val="nil"/>
          <w:right w:val="nil"/>
          <w:between w:val="nil"/>
        </w:pBdr>
        <w:ind w:left="720"/>
        <w:rPr>
          <w:color w:val="000000"/>
        </w:rPr>
      </w:pPr>
      <w:r>
        <w:rPr>
          <w:color w:val="000000"/>
        </w:rPr>
        <w:t>0.1 FTE Program Assistant (GS-7)</w:t>
      </w:r>
    </w:p>
    <w:p w14:paraId="451AED8C" w14:textId="77777777" w:rsidR="00B921EA" w:rsidRDefault="00BE3086">
      <w:pPr>
        <w:pBdr>
          <w:top w:val="nil"/>
          <w:left w:val="nil"/>
          <w:bottom w:val="nil"/>
          <w:right w:val="nil"/>
          <w:between w:val="nil"/>
        </w:pBdr>
        <w:ind w:left="720"/>
        <w:rPr>
          <w:color w:val="000000"/>
        </w:rPr>
      </w:pPr>
      <w:r>
        <w:rPr>
          <w:color w:val="000000"/>
        </w:rPr>
        <w:t>0.1 FTE Bio Sci Res Tech (GS 9) – greenhouse manager</w:t>
      </w:r>
    </w:p>
    <w:p w14:paraId="451AED8D" w14:textId="77777777" w:rsidR="00B921EA" w:rsidRDefault="00BE3086">
      <w:pPr>
        <w:pBdr>
          <w:top w:val="nil"/>
          <w:left w:val="nil"/>
          <w:bottom w:val="nil"/>
          <w:right w:val="nil"/>
          <w:between w:val="nil"/>
        </w:pBdr>
        <w:ind w:left="720"/>
        <w:rPr>
          <w:color w:val="000000"/>
        </w:rPr>
      </w:pPr>
      <w:r>
        <w:rPr>
          <w:color w:val="000000"/>
        </w:rPr>
        <w:t>0.1 FTE Bio Sci Res Tech (GS 9) – tissue culture/cryogenic technician</w:t>
      </w:r>
    </w:p>
    <w:p w14:paraId="451AED8E" w14:textId="77777777" w:rsidR="00B921EA" w:rsidRDefault="00BE3086">
      <w:pPr>
        <w:pBdr>
          <w:top w:val="nil"/>
          <w:left w:val="nil"/>
          <w:bottom w:val="nil"/>
          <w:right w:val="nil"/>
          <w:between w:val="nil"/>
        </w:pBdr>
        <w:ind w:left="720"/>
        <w:rPr>
          <w:color w:val="000000"/>
        </w:rPr>
      </w:pPr>
      <w:r>
        <w:rPr>
          <w:color w:val="000000"/>
        </w:rPr>
        <w:t xml:space="preserve">0.1 FTE Bio Sci Res Tech (GS 9) – distribution </w:t>
      </w:r>
    </w:p>
    <w:p w14:paraId="451AED8F" w14:textId="77777777" w:rsidR="00B921EA" w:rsidRDefault="00BE3086">
      <w:pPr>
        <w:pBdr>
          <w:top w:val="nil"/>
          <w:left w:val="nil"/>
          <w:bottom w:val="nil"/>
          <w:right w:val="nil"/>
          <w:between w:val="nil"/>
        </w:pBdr>
        <w:ind w:left="720"/>
        <w:rPr>
          <w:color w:val="000000"/>
        </w:rPr>
      </w:pPr>
      <w:r>
        <w:rPr>
          <w:color w:val="000000"/>
        </w:rPr>
        <w:t>0.5 FTE Bio aid (GS 5) – propagation</w:t>
      </w:r>
    </w:p>
    <w:p w14:paraId="451AED90" w14:textId="77777777" w:rsidR="00B921EA" w:rsidRDefault="00BE3086">
      <w:pPr>
        <w:pBdr>
          <w:top w:val="nil"/>
          <w:left w:val="nil"/>
          <w:bottom w:val="nil"/>
          <w:right w:val="nil"/>
          <w:between w:val="nil"/>
        </w:pBdr>
        <w:ind w:left="720"/>
        <w:rPr>
          <w:color w:val="000000"/>
          <w:u w:val="single"/>
        </w:rPr>
      </w:pPr>
      <w:r>
        <w:rPr>
          <w:color w:val="000000"/>
          <w:u w:val="single"/>
        </w:rPr>
        <w:t>0.1 FTE time slip labor- for plant management</w:t>
      </w:r>
    </w:p>
    <w:p w14:paraId="451AED91" w14:textId="77777777" w:rsidR="00B921EA" w:rsidRDefault="00BE3086">
      <w:pPr>
        <w:pBdr>
          <w:top w:val="nil"/>
          <w:left w:val="nil"/>
          <w:bottom w:val="nil"/>
          <w:right w:val="nil"/>
          <w:between w:val="nil"/>
        </w:pBdr>
        <w:ind w:left="720"/>
        <w:rPr>
          <w:color w:val="000000"/>
        </w:rPr>
      </w:pPr>
      <w:r>
        <w:rPr>
          <w:color w:val="000000"/>
        </w:rPr>
        <w:t>1.3 FTE total USDA labor for cranberry efforts</w:t>
      </w:r>
    </w:p>
    <w:p w14:paraId="451AED92" w14:textId="77777777" w:rsidR="00B921EA" w:rsidRDefault="00B921EA">
      <w:pPr>
        <w:rPr>
          <w:b/>
        </w:rPr>
      </w:pPr>
    </w:p>
    <w:p w14:paraId="451AED93" w14:textId="77777777" w:rsidR="00B921EA" w:rsidRDefault="00BE3086">
      <w:pPr>
        <w:rPr>
          <w:b/>
        </w:rPr>
      </w:pPr>
      <w:r>
        <w:rPr>
          <w:b/>
        </w:rPr>
        <w:t>Facilities and equipment</w:t>
      </w:r>
      <w:r>
        <w:rPr>
          <w:b/>
        </w:rPr>
        <w:tab/>
      </w:r>
      <w:r>
        <w:rPr>
          <w:b/>
        </w:rPr>
        <w:tab/>
      </w:r>
      <w:r>
        <w:rPr>
          <w:b/>
        </w:rPr>
        <w:tab/>
      </w:r>
      <w:r>
        <w:rPr>
          <w:b/>
        </w:rPr>
        <w:tab/>
        <w:t xml:space="preserve"> ft</w:t>
      </w:r>
      <w:r>
        <w:rPr>
          <w:b/>
          <w:vertAlign w:val="superscript"/>
        </w:rPr>
        <w:t>2</w:t>
      </w:r>
      <w:r>
        <w:rPr>
          <w:b/>
          <w:vertAlign w:val="superscript"/>
        </w:rPr>
        <w:tab/>
      </w:r>
      <w:r>
        <w:rPr>
          <w:b/>
          <w:vertAlign w:val="superscript"/>
        </w:rPr>
        <w:tab/>
      </w:r>
      <w:r>
        <w:rPr>
          <w:b/>
        </w:rPr>
        <w:t>m</w:t>
      </w:r>
      <w:r>
        <w:rPr>
          <w:b/>
          <w:vertAlign w:val="superscript"/>
        </w:rPr>
        <w:t>2</w:t>
      </w:r>
    </w:p>
    <w:p w14:paraId="451AED94" w14:textId="77777777" w:rsidR="00B921EA" w:rsidRDefault="00BE3086">
      <w:r>
        <w:t xml:space="preserve">1 Screenhouses for </w:t>
      </w:r>
      <w:r>
        <w:rPr>
          <w:i/>
        </w:rPr>
        <w:t>Vaccinium</w:t>
      </w:r>
      <w:r>
        <w:t xml:space="preserve"> only</w:t>
      </w:r>
      <w:r>
        <w:tab/>
      </w:r>
      <w:r>
        <w:tab/>
      </w:r>
      <w:r>
        <w:tab/>
        <w:t xml:space="preserve"> 6,000 </w:t>
      </w:r>
      <w:r>
        <w:tab/>
      </w:r>
      <w:r>
        <w:tab/>
        <w:t>700</w:t>
      </w:r>
    </w:p>
    <w:p w14:paraId="451AED95" w14:textId="77777777" w:rsidR="00B921EA" w:rsidRDefault="00BE3086">
      <w:r>
        <w:t>1 polycarbonate growing area</w:t>
      </w:r>
      <w:r>
        <w:tab/>
      </w:r>
      <w:r>
        <w:tab/>
      </w:r>
      <w:r>
        <w:tab/>
      </w:r>
      <w:r>
        <w:tab/>
        <w:t xml:space="preserve"> 6,000</w:t>
      </w:r>
      <w:r>
        <w:tab/>
      </w:r>
      <w:r>
        <w:tab/>
        <w:t>700</w:t>
      </w:r>
    </w:p>
    <w:p w14:paraId="451AED96" w14:textId="77777777" w:rsidR="00B921EA" w:rsidRDefault="00BE3086">
      <w:r>
        <w:t>(</w:t>
      </w:r>
      <w:proofErr w:type="gramStart"/>
      <w:r>
        <w:t>below</w:t>
      </w:r>
      <w:proofErr w:type="gramEnd"/>
      <w:r>
        <w:t xml:space="preserve"> only 1/10 for blueberry)</w:t>
      </w:r>
    </w:p>
    <w:p w14:paraId="451AED97" w14:textId="77777777" w:rsidR="00B921EA" w:rsidRDefault="00BE3086">
      <w:r>
        <w:t>Main Office and Laboratory Space</w:t>
      </w:r>
      <w:r>
        <w:tab/>
      </w:r>
      <w:r>
        <w:tab/>
      </w:r>
      <w:r>
        <w:tab/>
        <w:t xml:space="preserve"> 9,830</w:t>
      </w:r>
      <w:r>
        <w:tab/>
      </w:r>
      <w:r>
        <w:tab/>
        <w:t xml:space="preserve"> 929</w:t>
      </w:r>
    </w:p>
    <w:p w14:paraId="451AED98" w14:textId="77777777" w:rsidR="00B921EA" w:rsidRDefault="00BE3086">
      <w:r>
        <w:t>Four Greenhouses</w:t>
      </w:r>
      <w:r>
        <w:tab/>
      </w:r>
      <w:r>
        <w:tab/>
      </w:r>
      <w:r>
        <w:tab/>
      </w:r>
      <w:r>
        <w:tab/>
      </w:r>
      <w:r>
        <w:tab/>
        <w:t xml:space="preserve">10,229 </w:t>
      </w:r>
      <w:r>
        <w:tab/>
      </w:r>
      <w:r>
        <w:tab/>
        <w:t xml:space="preserve"> 937</w:t>
      </w:r>
    </w:p>
    <w:p w14:paraId="451AED99" w14:textId="77777777" w:rsidR="00B921EA" w:rsidRDefault="00BE3086">
      <w:r>
        <w:t>Headhouse</w:t>
      </w:r>
      <w:r>
        <w:tab/>
        <w:t xml:space="preserve"> </w:t>
      </w:r>
      <w:r>
        <w:tab/>
      </w:r>
      <w:r>
        <w:tab/>
      </w:r>
      <w:r>
        <w:tab/>
      </w:r>
      <w:r>
        <w:tab/>
      </w:r>
      <w:r>
        <w:tab/>
        <w:t xml:space="preserve"> 6,500</w:t>
      </w:r>
      <w:r>
        <w:tab/>
      </w:r>
      <w:r>
        <w:tab/>
        <w:t xml:space="preserve"> 614</w:t>
      </w:r>
    </w:p>
    <w:p w14:paraId="451AED9A" w14:textId="77777777" w:rsidR="00B921EA" w:rsidRDefault="00BE3086">
      <w:r>
        <w:t xml:space="preserve">One </w:t>
      </w:r>
      <w:proofErr w:type="spellStart"/>
      <w:r>
        <w:t>Shadehouse</w:t>
      </w:r>
      <w:proofErr w:type="spellEnd"/>
      <w:r>
        <w:tab/>
      </w:r>
      <w:r>
        <w:tab/>
      </w:r>
      <w:r>
        <w:tab/>
      </w:r>
      <w:r>
        <w:tab/>
      </w:r>
      <w:r>
        <w:tab/>
        <w:t xml:space="preserve"> 1,720</w:t>
      </w:r>
      <w:r>
        <w:tab/>
      </w:r>
      <w:r>
        <w:tab/>
        <w:t xml:space="preserve"> 164</w:t>
      </w:r>
    </w:p>
    <w:p w14:paraId="451AED9B" w14:textId="77777777" w:rsidR="00B921EA" w:rsidRDefault="00BE3086">
      <w:r>
        <w:t>Boiler Room</w:t>
      </w:r>
      <w:r>
        <w:tab/>
      </w:r>
      <w:r>
        <w:tab/>
      </w:r>
      <w:r>
        <w:tab/>
      </w:r>
      <w:r>
        <w:tab/>
      </w:r>
      <w:r>
        <w:tab/>
      </w:r>
      <w:r>
        <w:tab/>
        <w:t xml:space="preserve"> 400</w:t>
      </w:r>
      <w:r>
        <w:tab/>
      </w:r>
      <w:r>
        <w:tab/>
        <w:t xml:space="preserve"> 38</w:t>
      </w:r>
    </w:p>
    <w:p w14:paraId="451AED9C" w14:textId="77777777" w:rsidR="00B921EA" w:rsidRDefault="00BE3086">
      <w:r>
        <w:t>Shop Work</w:t>
      </w:r>
      <w:r>
        <w:t xml:space="preserve"> Area</w:t>
      </w:r>
      <w:r>
        <w:tab/>
      </w:r>
      <w:r>
        <w:tab/>
      </w:r>
      <w:r>
        <w:tab/>
      </w:r>
      <w:r>
        <w:tab/>
      </w:r>
      <w:r>
        <w:tab/>
        <w:t xml:space="preserve"> 1,704</w:t>
      </w:r>
      <w:r>
        <w:tab/>
      </w:r>
      <w:r>
        <w:tab/>
        <w:t xml:space="preserve"> 161</w:t>
      </w:r>
    </w:p>
    <w:p w14:paraId="451AED9D" w14:textId="77777777" w:rsidR="00B921EA" w:rsidRDefault="00BE3086">
      <w:r>
        <w:t>Two Storage Sheds</w:t>
      </w:r>
      <w:r>
        <w:tab/>
      </w:r>
      <w:r>
        <w:tab/>
      </w:r>
      <w:r>
        <w:tab/>
      </w:r>
      <w:r>
        <w:tab/>
      </w:r>
      <w:r>
        <w:tab/>
        <w:t xml:space="preserve"> 3,960</w:t>
      </w:r>
      <w:r>
        <w:tab/>
      </w:r>
      <w:r>
        <w:tab/>
        <w:t xml:space="preserve"> 374</w:t>
      </w:r>
    </w:p>
    <w:p w14:paraId="451AED9E" w14:textId="77777777" w:rsidR="00B921EA" w:rsidRDefault="00BE3086">
      <w:pPr>
        <w:rPr>
          <w:u w:val="single"/>
        </w:rPr>
      </w:pPr>
      <w:r>
        <w:t>Two Walk-in coolers</w:t>
      </w:r>
      <w:r>
        <w:tab/>
      </w:r>
      <w:r>
        <w:tab/>
      </w:r>
      <w:r>
        <w:tab/>
      </w:r>
      <w:r>
        <w:tab/>
      </w:r>
      <w:r>
        <w:tab/>
        <w:t xml:space="preserve"> 360</w:t>
      </w:r>
      <w:r>
        <w:tab/>
      </w:r>
      <w:r>
        <w:tab/>
        <w:t xml:space="preserve"> 36</w:t>
      </w:r>
    </w:p>
    <w:p w14:paraId="451AED9F" w14:textId="77777777" w:rsidR="00B921EA" w:rsidRDefault="00BE3086">
      <w:r>
        <w:rPr>
          <w:u w:val="single"/>
        </w:rPr>
        <w:t>North Farm Building</w:t>
      </w:r>
      <w:r>
        <w:rPr>
          <w:u w:val="single"/>
        </w:rPr>
        <w:tab/>
      </w:r>
      <w:r>
        <w:rPr>
          <w:u w:val="single"/>
        </w:rPr>
        <w:tab/>
      </w:r>
      <w:r>
        <w:rPr>
          <w:u w:val="single"/>
        </w:rPr>
        <w:tab/>
      </w:r>
      <w:r>
        <w:rPr>
          <w:u w:val="single"/>
        </w:rPr>
        <w:tab/>
      </w:r>
      <w:r>
        <w:rPr>
          <w:u w:val="single"/>
        </w:rPr>
        <w:tab/>
        <w:t xml:space="preserve"> 2,220</w:t>
      </w:r>
      <w:r>
        <w:rPr>
          <w:u w:val="single"/>
        </w:rPr>
        <w:tab/>
      </w:r>
      <w:r>
        <w:rPr>
          <w:u w:val="single"/>
        </w:rPr>
        <w:tab/>
        <w:t xml:space="preserve"> 210</w:t>
      </w:r>
    </w:p>
    <w:p w14:paraId="451AEDA0" w14:textId="77777777" w:rsidR="00B921EA" w:rsidRDefault="00BE3086">
      <w:r>
        <w:t>Additional facilities and support</w:t>
      </w:r>
    </w:p>
    <w:p w14:paraId="451AEDA1" w14:textId="77777777" w:rsidR="00B921EA" w:rsidRDefault="00BE3086">
      <w:r>
        <w:t>Fuel Tanks</w:t>
      </w:r>
    </w:p>
    <w:p w14:paraId="451AEDA2" w14:textId="77777777" w:rsidR="00B921EA" w:rsidRDefault="00BE3086">
      <w:r>
        <w:tab/>
        <w:t xml:space="preserve">Above ground diesel </w:t>
      </w:r>
      <w:r>
        <w:tab/>
      </w:r>
      <w:r>
        <w:tab/>
        <w:t xml:space="preserve"> </w:t>
      </w:r>
      <w:r>
        <w:tab/>
        <w:t xml:space="preserve"> </w:t>
      </w:r>
      <w:r>
        <w:tab/>
        <w:t xml:space="preserve"> 2 @ 500 gal</w:t>
      </w:r>
    </w:p>
    <w:p w14:paraId="451AEDA3" w14:textId="77777777" w:rsidR="00B921EA" w:rsidRDefault="00BE3086">
      <w:r>
        <w:tab/>
        <w:t xml:space="preserve">Above ground gasoline </w:t>
      </w:r>
      <w:r>
        <w:tab/>
      </w:r>
      <w:r>
        <w:rPr>
          <w:sz w:val="28"/>
          <w:szCs w:val="28"/>
        </w:rPr>
        <w:tab/>
      </w:r>
      <w:r>
        <w:rPr>
          <w:sz w:val="28"/>
          <w:szCs w:val="28"/>
        </w:rPr>
        <w:tab/>
      </w:r>
      <w:r>
        <w:t xml:space="preserve"> 1 @ 500 gal</w:t>
      </w:r>
    </w:p>
    <w:p w14:paraId="451AEDA4" w14:textId="77777777" w:rsidR="00B921EA" w:rsidRDefault="00BE3086">
      <w:pPr>
        <w:rPr>
          <w:sz w:val="28"/>
          <w:szCs w:val="28"/>
        </w:rPr>
      </w:pPr>
      <w:r>
        <w:t>4 w</w:t>
      </w:r>
      <w:r>
        <w:t>ells</w:t>
      </w:r>
    </w:p>
    <w:p w14:paraId="451AEDA5" w14:textId="77777777" w:rsidR="00B921EA" w:rsidRDefault="00BE3086">
      <w:r>
        <w:t>Land</w:t>
      </w:r>
    </w:p>
    <w:p w14:paraId="451AEDA6" w14:textId="77777777" w:rsidR="00B921EA" w:rsidRDefault="00BE3086">
      <w:pPr>
        <w:rPr>
          <w:sz w:val="28"/>
          <w:szCs w:val="28"/>
        </w:rPr>
      </w:pPr>
      <w:r>
        <w:t>Buildings and Grounds</w:t>
      </w:r>
      <w:r>
        <w:rPr>
          <w:sz w:val="28"/>
          <w:szCs w:val="28"/>
        </w:rPr>
        <w:tab/>
      </w:r>
      <w:r>
        <w:rPr>
          <w:sz w:val="28"/>
          <w:szCs w:val="28"/>
        </w:rPr>
        <w:tab/>
      </w:r>
      <w:r>
        <w:rPr>
          <w:sz w:val="28"/>
          <w:szCs w:val="28"/>
        </w:rPr>
        <w:tab/>
        <w:t xml:space="preserve"> </w:t>
      </w:r>
      <w:r>
        <w:rPr>
          <w:sz w:val="28"/>
          <w:szCs w:val="28"/>
        </w:rPr>
        <w:tab/>
        <w:t>5 acres (2.23 hectares)</w:t>
      </w:r>
    </w:p>
    <w:p w14:paraId="451AEDA7" w14:textId="77777777" w:rsidR="00B921EA" w:rsidRDefault="00BE3086">
      <w:r>
        <w:t>(</w:t>
      </w:r>
      <w:proofErr w:type="gramStart"/>
      <w:r>
        <w:t>25 year</w:t>
      </w:r>
      <w:proofErr w:type="gramEnd"/>
      <w:r>
        <w:t xml:space="preserve"> lease from OSU starting January 1, 1978) </w:t>
      </w:r>
    </w:p>
    <w:p w14:paraId="451AEDA8" w14:textId="77777777" w:rsidR="00B921EA" w:rsidRDefault="00BE3086">
      <w:pPr>
        <w:rPr>
          <w:sz w:val="28"/>
          <w:szCs w:val="28"/>
        </w:rPr>
      </w:pPr>
      <w:r>
        <w:t xml:space="preserve">(Lease has been signed for additional </w:t>
      </w:r>
      <w:proofErr w:type="gramStart"/>
      <w:r>
        <w:t>25 year</w:t>
      </w:r>
      <w:proofErr w:type="gramEnd"/>
      <w:r>
        <w:t xml:space="preserve"> extension 2004 through 2029)</w:t>
      </w:r>
      <w:r>
        <w:rPr>
          <w:sz w:val="28"/>
          <w:szCs w:val="28"/>
        </w:rPr>
        <w:t xml:space="preserve"> </w:t>
      </w:r>
      <w:r>
        <w:rPr>
          <w:sz w:val="28"/>
          <w:szCs w:val="28"/>
        </w:rPr>
        <w:tab/>
      </w:r>
      <w:r>
        <w:rPr>
          <w:sz w:val="28"/>
          <w:szCs w:val="28"/>
        </w:rPr>
        <w:tab/>
      </w:r>
    </w:p>
    <w:p w14:paraId="451AEDA9" w14:textId="77777777" w:rsidR="00B921EA" w:rsidRDefault="00BE3086">
      <w:r>
        <w:lastRenderedPageBreak/>
        <w:t>Planted</w:t>
      </w:r>
      <w:r>
        <w:tab/>
        <w:t xml:space="preserve"> (other non-strawberry crops)</w:t>
      </w:r>
      <w:r>
        <w:tab/>
      </w:r>
      <w:r>
        <w:tab/>
      </w:r>
    </w:p>
    <w:p w14:paraId="451AEDAA" w14:textId="77777777" w:rsidR="00B921EA" w:rsidRDefault="00BE3086">
      <w:pPr>
        <w:ind w:left="1440" w:firstLine="720"/>
      </w:pPr>
      <w:r>
        <w:t>20 acres (8.09 hectares) at 33447 Peoria Road, Corvallis, OR 97333</w:t>
      </w:r>
    </w:p>
    <w:p w14:paraId="451AEDAB" w14:textId="77777777" w:rsidR="00B921EA" w:rsidRDefault="00BE3086">
      <w:r>
        <w:tab/>
      </w:r>
      <w:r>
        <w:tab/>
        <w:t>(Agreement with OSU Department of Horticulture on Lewis Brown Farm)</w:t>
      </w:r>
    </w:p>
    <w:p w14:paraId="451AEDAC" w14:textId="77777777" w:rsidR="00B921EA" w:rsidRDefault="00BE3086">
      <w:r>
        <w:t>A</w:t>
      </w:r>
      <w:r>
        <w:t>dditional Plantings</w:t>
      </w:r>
      <w:r>
        <w:tab/>
        <w:t>42 acres (17 hectares) USDA-ARS owner</w:t>
      </w:r>
    </w:p>
    <w:p w14:paraId="451AEDAD" w14:textId="77777777" w:rsidR="00B921EA" w:rsidRDefault="00BE3086">
      <w:r>
        <w:tab/>
      </w:r>
      <w:r>
        <w:tab/>
      </w:r>
      <w:r>
        <w:tab/>
      </w:r>
      <w:r>
        <w:tab/>
        <w:t>33707 S.E. Peoria Road, Corvallis, OR 97333</w:t>
      </w:r>
    </w:p>
    <w:p w14:paraId="451AEDAE" w14:textId="77777777" w:rsidR="00B921EA" w:rsidRDefault="00BE3086">
      <w:r>
        <w:rPr>
          <w:u w:val="single"/>
        </w:rPr>
        <w:t>Staffing for Facilities Management</w:t>
      </w:r>
    </w:p>
    <w:p w14:paraId="451AEDAF" w14:textId="77777777" w:rsidR="00B921EA" w:rsidRDefault="00BE3086">
      <w:r>
        <w:t>Location Engineering Technician GS-9 available for consultation and advice</w:t>
      </w:r>
    </w:p>
    <w:p w14:paraId="451AEDB0" w14:textId="77777777" w:rsidR="00B921EA" w:rsidRDefault="00BE3086">
      <w:pPr>
        <w:rPr>
          <w:sz w:val="28"/>
          <w:szCs w:val="28"/>
        </w:rPr>
      </w:pPr>
      <w:r>
        <w:t>Unit Maintenance Technician WG-5 provide</w:t>
      </w:r>
      <w:r>
        <w:t>s 0.15 FTE of facilities maintenance</w:t>
      </w:r>
      <w:r>
        <w:rPr>
          <w:sz w:val="28"/>
          <w:szCs w:val="28"/>
        </w:rPr>
        <w:t>.</w:t>
      </w:r>
    </w:p>
    <w:p w14:paraId="451AEDB1" w14:textId="77777777" w:rsidR="00B921EA" w:rsidRDefault="00BE3086">
      <w:r>
        <w:t>Janitor WG-1, 0.15 FTE</w:t>
      </w:r>
    </w:p>
    <w:p w14:paraId="451AEDB2" w14:textId="77777777" w:rsidR="00B921EA" w:rsidRDefault="00B921EA">
      <w:pPr>
        <w:rPr>
          <w:b/>
        </w:rPr>
      </w:pPr>
    </w:p>
    <w:p w14:paraId="451AEDB3" w14:textId="77777777" w:rsidR="00B921EA" w:rsidRDefault="00BE3086">
      <w:pPr>
        <w:rPr>
          <w:b/>
        </w:rPr>
      </w:pPr>
      <w:r>
        <w:rPr>
          <w:b/>
        </w:rPr>
        <w:t>Equipment</w:t>
      </w:r>
    </w:p>
    <w:p w14:paraId="451AEDB4" w14:textId="77777777" w:rsidR="00B921EA" w:rsidRDefault="00BE3086">
      <w:pPr>
        <w:rPr>
          <w:b/>
        </w:rPr>
      </w:pPr>
      <w:r>
        <w:rPr>
          <w:b/>
        </w:rPr>
        <w:tab/>
      </w:r>
      <w:r>
        <w:t xml:space="preserve">Tissue culture laboratory (media prep, culturing, growth room, cryogenic option) </w:t>
      </w:r>
      <w:r>
        <w:rPr>
          <w:b/>
        </w:rPr>
        <w:tab/>
      </w:r>
    </w:p>
    <w:p w14:paraId="451AEDB5" w14:textId="77777777" w:rsidR="00B921EA" w:rsidRDefault="00BE3086">
      <w:r>
        <w:rPr>
          <w:b/>
        </w:rPr>
        <w:tab/>
      </w:r>
      <w:r>
        <w:t>Molecular marker laboratory (molecular marker determination)</w:t>
      </w:r>
    </w:p>
    <w:p w14:paraId="451AEDB6" w14:textId="77777777" w:rsidR="00B921EA" w:rsidRDefault="00BE3086">
      <w:r>
        <w:tab/>
        <w:t>Pathogen testing laboratory (</w:t>
      </w:r>
      <w:proofErr w:type="gramStart"/>
      <w:r>
        <w:t>bio assa</w:t>
      </w:r>
      <w:r>
        <w:t>ys</w:t>
      </w:r>
      <w:proofErr w:type="gramEnd"/>
      <w:r>
        <w:t xml:space="preserve">, ELISA, PCR, </w:t>
      </w:r>
      <w:proofErr w:type="spellStart"/>
      <w:r>
        <w:t>rtPCR</w:t>
      </w:r>
      <w:proofErr w:type="spellEnd"/>
      <w:r>
        <w:t>)</w:t>
      </w:r>
    </w:p>
    <w:p w14:paraId="451AEDB7" w14:textId="77777777" w:rsidR="00B921EA" w:rsidRDefault="00BE3086">
      <w:r>
        <w:tab/>
        <w:t>Plant propagation equipment (</w:t>
      </w:r>
      <w:proofErr w:type="spellStart"/>
      <w:r>
        <w:t>mistbed</w:t>
      </w:r>
      <w:proofErr w:type="spellEnd"/>
      <w:r>
        <w:t>, propagation houses, quarantine facility)</w:t>
      </w:r>
    </w:p>
    <w:p w14:paraId="451AEDB8" w14:textId="77777777" w:rsidR="00B921EA" w:rsidRDefault="00BE3086">
      <w:r>
        <w:tab/>
        <w:t xml:space="preserve">Field propagation </w:t>
      </w:r>
    </w:p>
    <w:p w14:paraId="451AEDB9" w14:textId="77777777" w:rsidR="00B921EA" w:rsidRDefault="00B921EA">
      <w:pPr>
        <w:rPr>
          <w:b/>
        </w:rPr>
      </w:pPr>
    </w:p>
    <w:p w14:paraId="451AEDBA" w14:textId="77777777" w:rsidR="00B921EA" w:rsidRDefault="00BE3086">
      <w:pPr>
        <w:pBdr>
          <w:top w:val="nil"/>
          <w:left w:val="nil"/>
          <w:bottom w:val="nil"/>
          <w:right w:val="nil"/>
          <w:between w:val="nil"/>
        </w:pBdr>
        <w:rPr>
          <w:b/>
          <w:color w:val="000000"/>
        </w:rPr>
      </w:pPr>
      <w:r>
        <w:rPr>
          <w:b/>
          <w:color w:val="000000"/>
        </w:rPr>
        <w:t>Fiscal and operational resources</w:t>
      </w:r>
    </w:p>
    <w:p w14:paraId="451AEDBB" w14:textId="77777777" w:rsidR="00B921EA" w:rsidRDefault="00BE3086">
      <w:pPr>
        <w:pBdr>
          <w:top w:val="nil"/>
          <w:left w:val="nil"/>
          <w:bottom w:val="nil"/>
          <w:right w:val="nil"/>
          <w:between w:val="nil"/>
        </w:pBdr>
        <w:rPr>
          <w:color w:val="000000"/>
        </w:rPr>
      </w:pPr>
      <w:r>
        <w:rPr>
          <w:color w:val="000000"/>
        </w:rPr>
        <w:tab/>
        <w:t xml:space="preserve">Federal funding to support federal </w:t>
      </w:r>
      <w:r>
        <w:rPr>
          <w:i/>
          <w:color w:val="000000"/>
        </w:rPr>
        <w:t>Vaccinium</w:t>
      </w:r>
      <w:r>
        <w:rPr>
          <w:color w:val="000000"/>
        </w:rPr>
        <w:t xml:space="preserve"> germplasm management at NCGR-</w:t>
      </w:r>
      <w:r>
        <w:rPr>
          <w:color w:val="000000"/>
        </w:rPr>
        <w:tab/>
      </w:r>
      <w:r>
        <w:rPr>
          <w:color w:val="000000"/>
        </w:rPr>
        <w:t>Corvallis: FY 2016 – $153,000.</w:t>
      </w:r>
    </w:p>
    <w:p w14:paraId="451AEDBC" w14:textId="77777777" w:rsidR="00B921EA" w:rsidRDefault="00B921EA">
      <w:pPr>
        <w:pBdr>
          <w:top w:val="nil"/>
          <w:left w:val="nil"/>
          <w:bottom w:val="nil"/>
          <w:right w:val="nil"/>
          <w:between w:val="nil"/>
        </w:pBdr>
        <w:rPr>
          <w:color w:val="000000"/>
        </w:rPr>
      </w:pPr>
    </w:p>
    <w:p w14:paraId="451AEDBD" w14:textId="77777777" w:rsidR="00B921EA" w:rsidRDefault="00BE3086">
      <w:pPr>
        <w:pBdr>
          <w:top w:val="nil"/>
          <w:left w:val="nil"/>
          <w:bottom w:val="nil"/>
          <w:right w:val="nil"/>
          <w:between w:val="nil"/>
        </w:pBdr>
        <w:ind w:left="720"/>
        <w:rPr>
          <w:color w:val="000000"/>
        </w:rPr>
      </w:pPr>
      <w:r>
        <w:rPr>
          <w:color w:val="000000"/>
        </w:rPr>
        <w:t xml:space="preserve">About $10,000 per annum to fund small fruit germplasm evaluation proposals from USDA Crop Germplasm Committee evaluation grants. In </w:t>
      </w:r>
      <w:proofErr w:type="gramStart"/>
      <w:r>
        <w:rPr>
          <w:color w:val="000000"/>
        </w:rPr>
        <w:t>addition</w:t>
      </w:r>
      <w:proofErr w:type="gramEnd"/>
      <w:r>
        <w:rPr>
          <w:color w:val="000000"/>
        </w:rPr>
        <w:t xml:space="preserve"> plant exploration/exchange funding can be applied for through the USDA annual granting process.</w:t>
      </w:r>
    </w:p>
    <w:p w14:paraId="451AEDBE" w14:textId="77777777" w:rsidR="00B921EA" w:rsidRDefault="00B921EA"/>
    <w:p w14:paraId="451AEDBF" w14:textId="77777777" w:rsidR="00B921EA" w:rsidRDefault="00BE3086">
      <w:pPr>
        <w:rPr>
          <w:b/>
        </w:rPr>
      </w:pPr>
      <w:r>
        <w:br w:type="page"/>
      </w:r>
    </w:p>
    <w:p w14:paraId="451AEDC0" w14:textId="77777777" w:rsidR="00B921EA" w:rsidRDefault="00BE3086">
      <w:pPr>
        <w:pBdr>
          <w:top w:val="nil"/>
          <w:left w:val="nil"/>
          <w:bottom w:val="nil"/>
          <w:right w:val="nil"/>
          <w:between w:val="nil"/>
        </w:pBdr>
        <w:ind w:left="720" w:hanging="720"/>
        <w:rPr>
          <w:b/>
          <w:color w:val="000000"/>
        </w:rPr>
      </w:pPr>
      <w:r>
        <w:rPr>
          <w:b/>
          <w:color w:val="000000"/>
        </w:rPr>
        <w:lastRenderedPageBreak/>
        <w:t>6. References</w:t>
      </w:r>
    </w:p>
    <w:p w14:paraId="451AEDC1" w14:textId="77777777" w:rsidR="00B921EA" w:rsidRDefault="00BE3086">
      <w:pPr>
        <w:ind w:left="360" w:hanging="360"/>
      </w:pPr>
      <w:r>
        <w:t>Ca</w:t>
      </w:r>
      <w:r>
        <w:t xml:space="preserve">mp WH (1944). A preliminary treatment of the </w:t>
      </w:r>
      <w:proofErr w:type="spellStart"/>
      <w:r>
        <w:t>biosystematy</w:t>
      </w:r>
      <w:proofErr w:type="spellEnd"/>
      <w:r>
        <w:t xml:space="preserve"> of </w:t>
      </w:r>
      <w:proofErr w:type="spellStart"/>
      <w:r>
        <w:t>Oxycoccus</w:t>
      </w:r>
      <w:proofErr w:type="spellEnd"/>
      <w:r>
        <w:t>. Bul. Torrey Bot. Club 71: 426-437</w:t>
      </w:r>
    </w:p>
    <w:p w14:paraId="451AEDC2" w14:textId="77777777" w:rsidR="00B921EA" w:rsidRDefault="00BE3086">
      <w:pPr>
        <w:ind w:left="360" w:hanging="360"/>
      </w:pPr>
      <w:r>
        <w:t xml:space="preserve">Caruso F (2008). Disease management 2008. pp 1-6 in in: MM Sylvia and N. Guerin (eds.) Cranberry chart book-management guide for Massachusetts. UMass </w:t>
      </w:r>
      <w:r>
        <w:t xml:space="preserve">Cranberry Sta. Ext. Publ. East </w:t>
      </w:r>
      <w:proofErr w:type="spellStart"/>
      <w:r>
        <w:t>Whareham</w:t>
      </w:r>
      <w:proofErr w:type="spellEnd"/>
      <w:r>
        <w:t>, Massachusetts</w:t>
      </w:r>
    </w:p>
    <w:p w14:paraId="451AEDC3" w14:textId="77777777" w:rsidR="00B921EA" w:rsidRDefault="00BE3086">
      <w:pPr>
        <w:ind w:left="360" w:hanging="360"/>
      </w:pPr>
      <w:r>
        <w:t xml:space="preserve">Chandler FB, Wilcox RB, Bain HF, Bergman HF, </w:t>
      </w:r>
      <w:proofErr w:type="spellStart"/>
      <w:r>
        <w:t>Dermen</w:t>
      </w:r>
      <w:proofErr w:type="spellEnd"/>
      <w:r>
        <w:t>, H (1947). Cranberry breeding investigation of the U.S. Dept. of Agriculture. Cranberries 12: 6-9 (May); 12:6-10 (June)</w:t>
      </w:r>
    </w:p>
    <w:p w14:paraId="451AEDC4" w14:textId="77777777" w:rsidR="00B921EA" w:rsidRDefault="00BE3086">
      <w:pPr>
        <w:ind w:left="360" w:hanging="360"/>
      </w:pPr>
      <w:r>
        <w:t>Cranberry institute (2017). C</w:t>
      </w:r>
      <w:r>
        <w:t xml:space="preserve">rop statistics about cranberries. </w:t>
      </w:r>
      <w:hyperlink r:id="rId50">
        <w:r>
          <w:rPr>
            <w:color w:val="0000FF"/>
            <w:u w:val="single"/>
          </w:rPr>
          <w:t>http://www.cranberryinstitute.org/about_cran/Cropstatistics_about.html</w:t>
        </w:r>
      </w:hyperlink>
      <w:r>
        <w:t xml:space="preserve"> accessed </w:t>
      </w:r>
      <w:proofErr w:type="gramStart"/>
      <w:r>
        <w:t>09/03/2017</w:t>
      </w:r>
      <w:proofErr w:type="gramEnd"/>
    </w:p>
    <w:p w14:paraId="451AEDC5" w14:textId="77777777" w:rsidR="00B921EA" w:rsidRDefault="00BE3086">
      <w:pPr>
        <w:ind w:left="360" w:hanging="360"/>
      </w:pPr>
      <w:r>
        <w:t xml:space="preserve">Dana MN </w:t>
      </w:r>
      <w:r>
        <w:t>(1983). Cranberry cultivar list. Fruit Var. J. 37:88-95.</w:t>
      </w:r>
    </w:p>
    <w:p w14:paraId="451AEDC6" w14:textId="77777777" w:rsidR="00B921EA" w:rsidRDefault="00BE3086">
      <w:pPr>
        <w:ind w:left="360" w:hanging="360"/>
      </w:pPr>
      <w:proofErr w:type="spellStart"/>
      <w:r>
        <w:t>Daverdin</w:t>
      </w:r>
      <w:proofErr w:type="spellEnd"/>
      <w:r>
        <w:t xml:space="preserve"> G, Johnson-Cicalese J, Zalapa J, Vorsa N, Polashock J. (2017). Identification and mapping of fruit rot resistance QTL in American cranberry using GBS. Mole. Breed. 37:38.</w:t>
      </w:r>
    </w:p>
    <w:p w14:paraId="451AEDC7" w14:textId="77777777" w:rsidR="00B921EA" w:rsidRDefault="00BE3086">
      <w:pPr>
        <w:ind w:left="360" w:hanging="360"/>
      </w:pPr>
      <w:proofErr w:type="spellStart"/>
      <w:r>
        <w:t>Dongyeop</w:t>
      </w:r>
      <w:proofErr w:type="spellEnd"/>
      <w:r>
        <w:t xml:space="preserve"> K, Huang G</w:t>
      </w:r>
      <w:r>
        <w:t>, Liu Y, Wang Y, Singh AP, Vorsa N,</w:t>
      </w:r>
      <w:r>
        <w:rPr>
          <w:b/>
        </w:rPr>
        <w:t xml:space="preserve"> </w:t>
      </w:r>
      <w:r>
        <w:t xml:space="preserve">Koo H (2015). Cranberry flavonoids modulate cariogenic properties of mixed-species biofilm through exopolysaccharides-matrix disruption. </w:t>
      </w:r>
      <w:proofErr w:type="spellStart"/>
      <w:r>
        <w:t>PLoS</w:t>
      </w:r>
      <w:proofErr w:type="spellEnd"/>
      <w:r>
        <w:t xml:space="preserve"> ONE 10(12): e0145844. doi:10.1371/journal.pone.0145844</w:t>
      </w:r>
    </w:p>
    <w:p w14:paraId="451AEDC8" w14:textId="77777777" w:rsidR="00B921EA" w:rsidRDefault="00BE3086">
      <w:pPr>
        <w:ind w:left="360" w:hanging="360"/>
      </w:pPr>
      <w:r>
        <w:t>Eck P (1990). The Ameri</w:t>
      </w:r>
      <w:r>
        <w:t>can cranberry. Rutgers, The State University. New Brunswick. 420 pp.</w:t>
      </w:r>
    </w:p>
    <w:p w14:paraId="451AEDC9" w14:textId="77777777" w:rsidR="00B921EA" w:rsidRDefault="00BE3086">
      <w:pPr>
        <w:ind w:left="360" w:hanging="360"/>
      </w:pPr>
      <w:r>
        <w:t xml:space="preserve">Gallardo RK, Zhang Q, </w:t>
      </w:r>
      <w:proofErr w:type="spellStart"/>
      <w:r>
        <w:t>Klingthong</w:t>
      </w:r>
      <w:proofErr w:type="spellEnd"/>
      <w:r>
        <w:t xml:space="preserve"> P, Polashock J, Rodriguez-</w:t>
      </w:r>
      <w:proofErr w:type="spellStart"/>
      <w:r>
        <w:t>Soana</w:t>
      </w:r>
      <w:proofErr w:type="spellEnd"/>
      <w:r>
        <w:t xml:space="preserve"> C, Vorsa N, </w:t>
      </w:r>
      <w:proofErr w:type="spellStart"/>
      <w:r>
        <w:t>Harbut</w:t>
      </w:r>
      <w:proofErr w:type="spellEnd"/>
      <w:r>
        <w:t xml:space="preserve"> R, </w:t>
      </w:r>
      <w:proofErr w:type="spellStart"/>
      <w:r>
        <w:t>Atucha</w:t>
      </w:r>
      <w:proofErr w:type="spellEnd"/>
      <w:r>
        <w:t xml:space="preserve"> A, Zalapa </w:t>
      </w:r>
      <w:proofErr w:type="gramStart"/>
      <w:r>
        <w:t>J.</w:t>
      </w:r>
      <w:proofErr w:type="gramEnd"/>
      <w:r>
        <w:t xml:space="preserve"> and Iorizzo M (2018) Breeding Trait Priorities of the cranberry Industry in the </w:t>
      </w:r>
      <w:r>
        <w:t>United States and Canada. In preparation. </w:t>
      </w:r>
    </w:p>
    <w:p w14:paraId="451AEDCA" w14:textId="77777777" w:rsidR="00B921EA" w:rsidRDefault="00BE3086">
      <w:pPr>
        <w:ind w:left="360" w:hanging="360"/>
      </w:pPr>
      <w:proofErr w:type="spellStart"/>
      <w:r>
        <w:t>Galletta</w:t>
      </w:r>
      <w:proofErr w:type="spellEnd"/>
      <w:r>
        <w:t xml:space="preserve">, GJ, </w:t>
      </w:r>
      <w:proofErr w:type="spellStart"/>
      <w:r>
        <w:t>Ballington</w:t>
      </w:r>
      <w:proofErr w:type="spellEnd"/>
      <w:r>
        <w:t xml:space="preserve">, JR (1996). Blueberries, </w:t>
      </w:r>
      <w:proofErr w:type="gramStart"/>
      <w:r>
        <w:t>cranberries</w:t>
      </w:r>
      <w:proofErr w:type="gramEnd"/>
      <w:r>
        <w:t xml:space="preserve"> and lingonberries. Chapter 1, pp. 1 – 109 in: </w:t>
      </w:r>
      <w:proofErr w:type="spellStart"/>
      <w:r>
        <w:t>Janick</w:t>
      </w:r>
      <w:proofErr w:type="spellEnd"/>
      <w:r>
        <w:t xml:space="preserve"> J and Moore JN, (eds.) Fruit Breeding, Vol. II, </w:t>
      </w:r>
      <w:proofErr w:type="gramStart"/>
      <w:r>
        <w:t>Vine</w:t>
      </w:r>
      <w:proofErr w:type="gramEnd"/>
      <w:r>
        <w:t xml:space="preserve"> and Small Fruit Crops. John Wiley and Sons, I</w:t>
      </w:r>
      <w:r>
        <w:t>nc. New York.</w:t>
      </w:r>
    </w:p>
    <w:p w14:paraId="451AEDCB" w14:textId="77777777" w:rsidR="00B921EA" w:rsidRDefault="00BE3086">
      <w:pPr>
        <w:ind w:left="360" w:hanging="360"/>
      </w:pPr>
      <w:r>
        <w:t xml:space="preserve">GRIN-Global. Germplasm Resources Information Network-Global (2017). Taxonomy for the National Plant Germplasm System. </w:t>
      </w:r>
      <w:hyperlink r:id="rId51">
        <w:r>
          <w:rPr>
            <w:color w:val="0000FF"/>
            <w:u w:val="single"/>
          </w:rPr>
          <w:t>https://npgsweb.ars-grin.gov/gringlobal/taxonomybrowse.aspx</w:t>
        </w:r>
      </w:hyperlink>
    </w:p>
    <w:p w14:paraId="451AEDCC" w14:textId="77777777" w:rsidR="00B921EA" w:rsidRDefault="00BE3086">
      <w:pPr>
        <w:pBdr>
          <w:top w:val="nil"/>
          <w:left w:val="nil"/>
          <w:bottom w:val="nil"/>
          <w:right w:val="nil"/>
          <w:between w:val="nil"/>
        </w:pBdr>
        <w:ind w:left="360" w:hanging="360"/>
        <w:rPr>
          <w:color w:val="000000"/>
        </w:rPr>
      </w:pPr>
      <w:proofErr w:type="spellStart"/>
      <w:r>
        <w:rPr>
          <w:color w:val="000000"/>
        </w:rPr>
        <w:t>Hagerup</w:t>
      </w:r>
      <w:proofErr w:type="spellEnd"/>
      <w:r>
        <w:rPr>
          <w:color w:val="000000"/>
        </w:rPr>
        <w:t xml:space="preserve"> O (1940). Studies on the significance of polyploidy. IV</w:t>
      </w:r>
      <w:r>
        <w:rPr>
          <w:i/>
          <w:color w:val="000000"/>
        </w:rPr>
        <w:t xml:space="preserve">. </w:t>
      </w:r>
      <w:proofErr w:type="spellStart"/>
      <w:r>
        <w:rPr>
          <w:i/>
          <w:color w:val="000000"/>
        </w:rPr>
        <w:t>Oxycoccus</w:t>
      </w:r>
      <w:proofErr w:type="spellEnd"/>
      <w:r>
        <w:rPr>
          <w:color w:val="000000"/>
        </w:rPr>
        <w:t xml:space="preserve"> </w:t>
      </w:r>
      <w:proofErr w:type="spellStart"/>
      <w:r>
        <w:rPr>
          <w:color w:val="000000"/>
        </w:rPr>
        <w:t>Hereditas</w:t>
      </w:r>
      <w:proofErr w:type="spellEnd"/>
      <w:r>
        <w:rPr>
          <w:color w:val="000000"/>
        </w:rPr>
        <w:t xml:space="preserve"> 26:399-410.</w:t>
      </w:r>
    </w:p>
    <w:p w14:paraId="451AEDCD" w14:textId="77777777" w:rsidR="00B921EA" w:rsidRDefault="00BE3086">
      <w:pPr>
        <w:pBdr>
          <w:top w:val="nil"/>
          <w:left w:val="nil"/>
          <w:bottom w:val="nil"/>
          <w:right w:val="nil"/>
          <w:between w:val="nil"/>
        </w:pBdr>
        <w:ind w:left="360" w:hanging="360"/>
        <w:rPr>
          <w:b/>
          <w:color w:val="000000"/>
        </w:rPr>
      </w:pPr>
      <w:proofErr w:type="spellStart"/>
      <w:r>
        <w:rPr>
          <w:color w:val="000000"/>
        </w:rPr>
        <w:t>Humfeld</w:t>
      </w:r>
      <w:proofErr w:type="spellEnd"/>
      <w:r>
        <w:rPr>
          <w:color w:val="000000"/>
        </w:rPr>
        <w:t xml:space="preserve"> R (2017). Cranberry overview. The Cranberry Institute. Presentation notes from North Carolina meeting in May 2017. </w:t>
      </w:r>
    </w:p>
    <w:p w14:paraId="451AEDCE" w14:textId="77777777" w:rsidR="00B921EA" w:rsidRDefault="00BE3086">
      <w:pPr>
        <w:ind w:left="360" w:hanging="360"/>
        <w:rPr>
          <w:color w:val="000000"/>
        </w:rPr>
      </w:pPr>
      <w:r>
        <w:t>Hummer KE, Bassil NV, Rodríguez Arm</w:t>
      </w:r>
      <w:r>
        <w:t>enta HP, Olmstead JW (2015).</w:t>
      </w:r>
      <w:r>
        <w:rPr>
          <w:i/>
        </w:rPr>
        <w:t xml:space="preserve"> Vaccinium</w:t>
      </w:r>
      <w:r>
        <w:t xml:space="preserve"> species ploidy assessment. Acta </w:t>
      </w:r>
      <w:proofErr w:type="spellStart"/>
      <w:r>
        <w:t>Hortic</w:t>
      </w:r>
      <w:proofErr w:type="spellEnd"/>
      <w:r>
        <w:t xml:space="preserve">. 1101:199-204. </w:t>
      </w:r>
      <w:r>
        <w:rPr>
          <w:color w:val="000000"/>
        </w:rPr>
        <w:t>DOI 10.17660/ActaHortic.2015.1101.30</w:t>
      </w:r>
    </w:p>
    <w:p w14:paraId="451AEDCF" w14:textId="77777777" w:rsidR="00B921EA" w:rsidRDefault="00BE3086">
      <w:pPr>
        <w:ind w:left="360" w:hanging="360"/>
      </w:pPr>
      <w:r>
        <w:t xml:space="preserve">Hummer KE, Oliphant J, Kien NV, and Hoai, T (2016). Wild Vietnamese relatives of blueberry. Acta </w:t>
      </w:r>
      <w:proofErr w:type="spellStart"/>
      <w:r>
        <w:t>Horticulturae</w:t>
      </w:r>
      <w:proofErr w:type="spellEnd"/>
      <w:r>
        <w:t>. In press.</w:t>
      </w:r>
    </w:p>
    <w:p w14:paraId="451AEDD0" w14:textId="77777777" w:rsidR="00B921EA" w:rsidRDefault="00BE3086">
      <w:pPr>
        <w:ind w:left="360" w:hanging="360"/>
      </w:pPr>
      <w:proofErr w:type="spellStart"/>
      <w:r>
        <w:t>Kart</w:t>
      </w:r>
      <w:r>
        <w:t>esz</w:t>
      </w:r>
      <w:proofErr w:type="spellEnd"/>
      <w:r>
        <w:t xml:space="preserve"> JT (1999). A synonymized checklist and atlas with biological attributes for the vascular flora of the United States, Canada, and Greenland. First edition. In: </w:t>
      </w:r>
      <w:proofErr w:type="spellStart"/>
      <w:r>
        <w:t>Kartesz</w:t>
      </w:r>
      <w:proofErr w:type="spellEnd"/>
      <w:r>
        <w:t>, J.T., and C.A. Meacham. Synthesis of the North American Flora, Version 1.0. North Ca</w:t>
      </w:r>
      <w:r>
        <w:t>rolina Botanical Garden, Chapel Hill, N.C.</w:t>
      </w:r>
    </w:p>
    <w:p w14:paraId="451AEDD1" w14:textId="77777777" w:rsidR="00B921EA" w:rsidRDefault="00BE3086">
      <w:pPr>
        <w:ind w:left="360" w:hanging="360"/>
      </w:pPr>
      <w:r>
        <w:rPr>
          <w:color w:val="231F20"/>
        </w:rPr>
        <w:t xml:space="preserve">Koo H, Duarte S, Murata RM, Scott-Anne K, Gregoire S, Watson GE, Singh AP, Vorsa N (2010). Influence of cranberry </w:t>
      </w:r>
      <w:proofErr w:type="spellStart"/>
      <w:r>
        <w:rPr>
          <w:color w:val="231F20"/>
        </w:rPr>
        <w:t>proanthocyanidins</w:t>
      </w:r>
      <w:proofErr w:type="spellEnd"/>
      <w:r>
        <w:rPr>
          <w:color w:val="231F20"/>
        </w:rPr>
        <w:t xml:space="preserve"> on formation of biofilms by </w:t>
      </w:r>
      <w:r>
        <w:rPr>
          <w:i/>
          <w:color w:val="231F20"/>
        </w:rPr>
        <w:t xml:space="preserve">Streptococcus mutans </w:t>
      </w:r>
      <w:r>
        <w:rPr>
          <w:color w:val="231F20"/>
        </w:rPr>
        <w:t xml:space="preserve">on saliva-coated </w:t>
      </w:r>
      <w:proofErr w:type="spellStart"/>
      <w:r>
        <w:rPr>
          <w:color w:val="231F20"/>
        </w:rPr>
        <w:t>apatitic</w:t>
      </w:r>
      <w:proofErr w:type="spellEnd"/>
      <w:r>
        <w:rPr>
          <w:color w:val="231F20"/>
        </w:rPr>
        <w:t xml:space="preserve"> surfac</w:t>
      </w:r>
      <w:r>
        <w:rPr>
          <w:color w:val="231F20"/>
        </w:rPr>
        <w:t xml:space="preserve">e and on dental caries development </w:t>
      </w:r>
      <w:r>
        <w:rPr>
          <w:i/>
          <w:color w:val="231F20"/>
        </w:rPr>
        <w:t>in vivo</w:t>
      </w:r>
      <w:r>
        <w:rPr>
          <w:color w:val="231F20"/>
        </w:rPr>
        <w:t>. Caries Res 44:116–126.</w:t>
      </w:r>
    </w:p>
    <w:p w14:paraId="451AEDD2" w14:textId="77777777" w:rsidR="00B921EA" w:rsidRDefault="00BE3086">
      <w:pPr>
        <w:ind w:left="360" w:hanging="360"/>
      </w:pPr>
      <w:r>
        <w:t xml:space="preserve">Kron KA, Powell AE, and </w:t>
      </w:r>
      <w:proofErr w:type="spellStart"/>
      <w:r>
        <w:t>Luteyn</w:t>
      </w:r>
      <w:proofErr w:type="spellEnd"/>
      <w:r>
        <w:t xml:space="preserve"> JL (2002). Phylogenetic relationships within the blueberry tribe (</w:t>
      </w:r>
      <w:proofErr w:type="spellStart"/>
      <w:r>
        <w:rPr>
          <w:i/>
        </w:rPr>
        <w:t>Vaccinieae</w:t>
      </w:r>
      <w:proofErr w:type="spellEnd"/>
      <w:r>
        <w:rPr>
          <w:i/>
        </w:rPr>
        <w:t>, Ericaceae</w:t>
      </w:r>
      <w:r>
        <w:t xml:space="preserve">) based on sequence data from </w:t>
      </w:r>
      <w:r>
        <w:rPr>
          <w:i/>
        </w:rPr>
        <w:t xml:space="preserve">mat K </w:t>
      </w:r>
      <w:r>
        <w:t xml:space="preserve">and nuclear ribosomal ITS regions, </w:t>
      </w:r>
      <w:r>
        <w:t xml:space="preserve">with comments on the placement of </w:t>
      </w:r>
      <w:proofErr w:type="spellStart"/>
      <w:r>
        <w:rPr>
          <w:i/>
        </w:rPr>
        <w:t>Satyria</w:t>
      </w:r>
      <w:proofErr w:type="spellEnd"/>
      <w:r>
        <w:t>. Amer. J. Bot. 89: 327-336</w:t>
      </w:r>
    </w:p>
    <w:p w14:paraId="451AEDD3" w14:textId="77777777" w:rsidR="00B921EA" w:rsidRDefault="00BE3086">
      <w:pPr>
        <w:ind w:left="360" w:hanging="360"/>
      </w:pPr>
      <w:r>
        <w:lastRenderedPageBreak/>
        <w:t xml:space="preserve">Lee I, Polashock JJ, </w:t>
      </w:r>
      <w:proofErr w:type="spellStart"/>
      <w:r>
        <w:t>Bottner</w:t>
      </w:r>
      <w:proofErr w:type="spellEnd"/>
      <w:r>
        <w:t xml:space="preserve">-Parker KD, </w:t>
      </w:r>
      <w:proofErr w:type="spellStart"/>
      <w:r>
        <w:t>Bagadia</w:t>
      </w:r>
      <w:proofErr w:type="spellEnd"/>
      <w:r>
        <w:t xml:space="preserve"> PG, Rodriguez-Saona C, Zhao Y, Davis RE (2014). New subgroup 16SrIII-V phytoplasmas associated with false-blossom diseased cranberry (</w:t>
      </w:r>
      <w:r>
        <w:rPr>
          <w:i/>
        </w:rPr>
        <w:t>Vacci</w:t>
      </w:r>
      <w:r>
        <w:rPr>
          <w:i/>
        </w:rPr>
        <w:t>nium macrocarpon</w:t>
      </w:r>
      <w:r>
        <w:t>) plants and with known and potential insect vectors in New Jersey. European Journal of Plant Pathology. 139:393-400</w:t>
      </w:r>
    </w:p>
    <w:p w14:paraId="451AEDD4" w14:textId="77777777" w:rsidR="00B921EA" w:rsidRDefault="00BE3086">
      <w:pPr>
        <w:ind w:left="360" w:hanging="360"/>
      </w:pPr>
      <w:r>
        <w:t xml:space="preserve">MacFarlane S, </w:t>
      </w:r>
      <w:proofErr w:type="spellStart"/>
      <w:r>
        <w:t>McGavin</w:t>
      </w:r>
      <w:proofErr w:type="spellEnd"/>
      <w:r>
        <w:t xml:space="preserve"> W, and </w:t>
      </w:r>
      <w:proofErr w:type="spellStart"/>
      <w:r>
        <w:t>Tzanetakis</w:t>
      </w:r>
      <w:proofErr w:type="spellEnd"/>
      <w:r>
        <w:t xml:space="preserve"> IE (2015). Virus-testing by PCR and RT-PCR amplification in berry fruit. Methods </w:t>
      </w:r>
      <w:proofErr w:type="spellStart"/>
      <w:r>
        <w:t>Mo</w:t>
      </w:r>
      <w:r>
        <w:t>lec</w:t>
      </w:r>
      <w:proofErr w:type="spellEnd"/>
      <w:r>
        <w:t>. Biol. Pl. Path. 1302: 227-248    </w:t>
      </w:r>
    </w:p>
    <w:p w14:paraId="451AEDD5" w14:textId="77777777" w:rsidR="00B921EA" w:rsidRDefault="00BE3086">
      <w:pPr>
        <w:pBdr>
          <w:top w:val="nil"/>
          <w:left w:val="nil"/>
          <w:bottom w:val="nil"/>
          <w:right w:val="nil"/>
          <w:between w:val="nil"/>
        </w:pBdr>
        <w:ind w:left="360" w:hanging="360"/>
        <w:rPr>
          <w:color w:val="000000"/>
        </w:rPr>
      </w:pPr>
      <w:proofErr w:type="spellStart"/>
      <w:r>
        <w:rPr>
          <w:color w:val="000000"/>
        </w:rPr>
        <w:t>Mahy</w:t>
      </w:r>
      <w:proofErr w:type="spellEnd"/>
      <w:r>
        <w:rPr>
          <w:color w:val="000000"/>
        </w:rPr>
        <w:t xml:space="preserve"> G, </w:t>
      </w:r>
      <w:proofErr w:type="spellStart"/>
      <w:r>
        <w:rPr>
          <w:color w:val="000000"/>
        </w:rPr>
        <w:t>Bruederle</w:t>
      </w:r>
      <w:proofErr w:type="spellEnd"/>
      <w:r>
        <w:rPr>
          <w:color w:val="000000"/>
        </w:rPr>
        <w:t xml:space="preserve"> LP, Connors B, Van </w:t>
      </w:r>
      <w:proofErr w:type="spellStart"/>
      <w:r>
        <w:rPr>
          <w:color w:val="000000"/>
        </w:rPr>
        <w:t>Hofwegen</w:t>
      </w:r>
      <w:proofErr w:type="spellEnd"/>
      <w:r>
        <w:rPr>
          <w:color w:val="000000"/>
        </w:rPr>
        <w:t xml:space="preserve"> M, Vorsa N</w:t>
      </w:r>
      <w:r>
        <w:rPr>
          <w:b/>
          <w:color w:val="000000"/>
        </w:rPr>
        <w:t xml:space="preserve"> </w:t>
      </w:r>
      <w:r>
        <w:rPr>
          <w:color w:val="000000"/>
        </w:rPr>
        <w:t xml:space="preserve">(2000). Allozymes revealed genetic </w:t>
      </w:r>
      <w:proofErr w:type="spellStart"/>
      <w:r>
        <w:rPr>
          <w:color w:val="000000"/>
        </w:rPr>
        <w:t>autopolyploidy</w:t>
      </w:r>
      <w:proofErr w:type="spellEnd"/>
      <w:r>
        <w:rPr>
          <w:color w:val="000000"/>
        </w:rPr>
        <w:t xml:space="preserve"> and high genetic diversity in tetraploid cranberry, </w:t>
      </w:r>
      <w:r>
        <w:rPr>
          <w:i/>
          <w:color w:val="000000"/>
        </w:rPr>
        <w:t xml:space="preserve">Vaccinium </w:t>
      </w:r>
      <w:proofErr w:type="spellStart"/>
      <w:r>
        <w:rPr>
          <w:i/>
          <w:color w:val="000000"/>
        </w:rPr>
        <w:t>oxycoccos</w:t>
      </w:r>
      <w:proofErr w:type="spellEnd"/>
      <w:r>
        <w:rPr>
          <w:color w:val="000000"/>
        </w:rPr>
        <w:t xml:space="preserve"> (Ericaceae). Amer. J. Bot.87:1882-1889</w:t>
      </w:r>
    </w:p>
    <w:p w14:paraId="451AEDD6" w14:textId="77777777" w:rsidR="00B921EA" w:rsidRDefault="00BE3086">
      <w:pPr>
        <w:pBdr>
          <w:top w:val="nil"/>
          <w:left w:val="nil"/>
          <w:bottom w:val="nil"/>
          <w:right w:val="nil"/>
          <w:between w:val="nil"/>
        </w:pBdr>
        <w:ind w:left="360" w:hanging="360"/>
        <w:rPr>
          <w:color w:val="000000"/>
        </w:rPr>
      </w:pPr>
      <w:r>
        <w:rPr>
          <w:color w:val="000000"/>
        </w:rPr>
        <w:t xml:space="preserve">Martin RR, Polashock JJ, and </w:t>
      </w:r>
      <w:proofErr w:type="spellStart"/>
      <w:r>
        <w:rPr>
          <w:color w:val="000000"/>
        </w:rPr>
        <w:t>Tzanetakis</w:t>
      </w:r>
      <w:proofErr w:type="spellEnd"/>
      <w:r>
        <w:rPr>
          <w:color w:val="000000"/>
        </w:rPr>
        <w:t xml:space="preserve"> IE (2012). New and emerging viruses of blueberry and cranberry. Viruses 4: 2831-2852</w:t>
      </w:r>
    </w:p>
    <w:p w14:paraId="451AEDD7" w14:textId="77777777" w:rsidR="00B921EA" w:rsidRDefault="00BE3086">
      <w:pPr>
        <w:pBdr>
          <w:top w:val="nil"/>
          <w:left w:val="nil"/>
          <w:bottom w:val="nil"/>
          <w:right w:val="nil"/>
          <w:between w:val="nil"/>
        </w:pBdr>
        <w:ind w:left="360" w:hanging="360"/>
        <w:rPr>
          <w:color w:val="000000"/>
        </w:rPr>
      </w:pPr>
      <w:proofErr w:type="spellStart"/>
      <w:r>
        <w:rPr>
          <w:color w:val="000000"/>
        </w:rPr>
        <w:t>Moerman</w:t>
      </w:r>
      <w:proofErr w:type="spellEnd"/>
      <w:r>
        <w:rPr>
          <w:color w:val="000000"/>
        </w:rPr>
        <w:t xml:space="preserve"> DE (2009). Native American medicinal plants: an ethnobotanical dictionary. Timber P</w:t>
      </w:r>
      <w:r>
        <w:rPr>
          <w:color w:val="000000"/>
        </w:rPr>
        <w:t xml:space="preserve">ress. Portland, </w:t>
      </w:r>
      <w:proofErr w:type="spellStart"/>
      <w:r>
        <w:rPr>
          <w:color w:val="000000"/>
        </w:rPr>
        <w:t>Oreon</w:t>
      </w:r>
      <w:proofErr w:type="spellEnd"/>
      <w:r>
        <w:rPr>
          <w:color w:val="000000"/>
        </w:rPr>
        <w:t>. p. 205</w:t>
      </w:r>
    </w:p>
    <w:p w14:paraId="451AEDD8" w14:textId="77777777" w:rsidR="00B921EA" w:rsidRDefault="00BE3086">
      <w:pPr>
        <w:pBdr>
          <w:top w:val="nil"/>
          <w:left w:val="nil"/>
          <w:bottom w:val="nil"/>
          <w:right w:val="nil"/>
          <w:between w:val="nil"/>
        </w:pBdr>
        <w:spacing w:after="280"/>
        <w:ind w:left="720" w:hanging="720"/>
        <w:rPr>
          <w:color w:val="000000"/>
        </w:rPr>
      </w:pPr>
      <w:bookmarkStart w:id="2" w:name="_heading=h.3znysh7" w:colFirst="0" w:colLast="0"/>
      <w:bookmarkEnd w:id="2"/>
      <w:r>
        <w:rPr>
          <w:color w:val="000000"/>
        </w:rPr>
        <w:t xml:space="preserve">NatureServe (2017). NatureServe Explorer: An online encyclopedia of life [web application]. Version 7.1. from NatureServe </w:t>
      </w:r>
      <w:hyperlink r:id="rId52">
        <w:r>
          <w:rPr>
            <w:color w:val="0000FF"/>
            <w:u w:val="single"/>
          </w:rPr>
          <w:t>http://explorer.natureserve.org</w:t>
        </w:r>
      </w:hyperlink>
    </w:p>
    <w:p w14:paraId="451AEDD9" w14:textId="77777777" w:rsidR="00B921EA" w:rsidRDefault="00BE3086">
      <w:pPr>
        <w:ind w:left="360" w:hanging="360"/>
      </w:pPr>
      <w:proofErr w:type="spellStart"/>
      <w:r>
        <w:t>Shabrova</w:t>
      </w:r>
      <w:proofErr w:type="spellEnd"/>
      <w:r>
        <w:t xml:space="preserve"> EV, Tarnopolsky O, Singh AP, </w:t>
      </w:r>
      <w:proofErr w:type="spellStart"/>
      <w:r>
        <w:t>Plutzky</w:t>
      </w:r>
      <w:proofErr w:type="spellEnd"/>
      <w:r>
        <w:t xml:space="preserve"> J, Vorsa N, Quadro L (2011). Insights into the Molecular Mechanisms of the anti-atherogenic actions of flavonoids in normal and obese mice. </w:t>
      </w:r>
      <w:proofErr w:type="spellStart"/>
      <w:r>
        <w:t>PLoS</w:t>
      </w:r>
      <w:proofErr w:type="spellEnd"/>
      <w:r>
        <w:t xml:space="preserve"> ONE</w:t>
      </w:r>
      <w:r>
        <w:rPr>
          <w:sz w:val="14"/>
          <w:szCs w:val="14"/>
        </w:rPr>
        <w:t xml:space="preserve"> </w:t>
      </w:r>
      <w:r>
        <w:t>6(10): e24634. doi:10.1371/journal.pone.0024634.</w:t>
      </w:r>
    </w:p>
    <w:p w14:paraId="451AEDDA" w14:textId="77777777" w:rsidR="00B921EA" w:rsidRDefault="00BE3086">
      <w:pPr>
        <w:ind w:left="360" w:hanging="360"/>
      </w:pPr>
      <w:r>
        <w:rPr>
          <w:color w:val="000000"/>
        </w:rPr>
        <w:t xml:space="preserve">Stevens PF (1969). </w:t>
      </w:r>
      <w:proofErr w:type="spellStart"/>
      <w:r>
        <w:rPr>
          <w:color w:val="000000"/>
        </w:rPr>
        <w:t>Taxonomoic</w:t>
      </w:r>
      <w:proofErr w:type="spellEnd"/>
      <w:r>
        <w:rPr>
          <w:color w:val="000000"/>
        </w:rPr>
        <w:t xml:space="preserve"> studies in the Ericaceae. Ph D. thesis. University of Edinburg, Scotland</w:t>
      </w:r>
    </w:p>
    <w:p w14:paraId="451AEDDB" w14:textId="77777777" w:rsidR="00B921EA" w:rsidRDefault="00BE3086">
      <w:pPr>
        <w:ind w:left="360" w:hanging="360"/>
      </w:pPr>
      <w:r>
        <w:t>Stiles CM, Oudemans PV (1999) Distribution of cranberry fruit-rotting fungi in New Jersey and evidence for nonspecific host resistance. Phytopathology 89</w:t>
      </w:r>
      <w:r>
        <w:t>:218–225</w:t>
      </w:r>
    </w:p>
    <w:p w14:paraId="451AEDDC" w14:textId="77777777" w:rsidR="00B921EA" w:rsidRDefault="00BE3086">
      <w:pPr>
        <w:pBdr>
          <w:top w:val="nil"/>
          <w:left w:val="nil"/>
          <w:bottom w:val="nil"/>
          <w:right w:val="nil"/>
          <w:between w:val="nil"/>
        </w:pBdr>
        <w:ind w:left="360" w:hanging="360"/>
        <w:rPr>
          <w:color w:val="000000"/>
        </w:rPr>
      </w:pPr>
      <w:r>
        <w:rPr>
          <w:color w:val="000000"/>
        </w:rPr>
        <w:t xml:space="preserve">Turner NJ (1975). Food plants of British Columbia Indians Part 1-Coastal peoples. </w:t>
      </w:r>
      <w:proofErr w:type="spellStart"/>
      <w:r>
        <w:rPr>
          <w:color w:val="000000"/>
        </w:rPr>
        <w:t>Brigish</w:t>
      </w:r>
      <w:proofErr w:type="spellEnd"/>
      <w:r>
        <w:rPr>
          <w:color w:val="000000"/>
        </w:rPr>
        <w:t xml:space="preserve"> Columbia Provincial Museum </w:t>
      </w:r>
      <w:proofErr w:type="spellStart"/>
      <w:r>
        <w:rPr>
          <w:color w:val="000000"/>
        </w:rPr>
        <w:t>Handbood</w:t>
      </w:r>
      <w:proofErr w:type="spellEnd"/>
      <w:r>
        <w:rPr>
          <w:color w:val="000000"/>
        </w:rPr>
        <w:t xml:space="preserve"> 34. Victoria, B.C. 264 pp </w:t>
      </w:r>
    </w:p>
    <w:p w14:paraId="451AEDDD" w14:textId="77777777" w:rsidR="00B921EA" w:rsidRDefault="00BE3086">
      <w:pPr>
        <w:pBdr>
          <w:top w:val="nil"/>
          <w:left w:val="nil"/>
          <w:bottom w:val="nil"/>
          <w:right w:val="nil"/>
          <w:between w:val="nil"/>
        </w:pBdr>
        <w:ind w:left="360" w:hanging="360"/>
        <w:rPr>
          <w:color w:val="000000"/>
        </w:rPr>
      </w:pPr>
      <w:r>
        <w:rPr>
          <w:color w:val="000000"/>
        </w:rPr>
        <w:t xml:space="preserve">Tuner NJ (1978). Food plants of British Columbia Indians Part 2- Interior peoples. </w:t>
      </w:r>
      <w:proofErr w:type="spellStart"/>
      <w:r>
        <w:rPr>
          <w:color w:val="000000"/>
        </w:rPr>
        <w:t>Brigish</w:t>
      </w:r>
      <w:proofErr w:type="spellEnd"/>
      <w:r>
        <w:rPr>
          <w:color w:val="000000"/>
        </w:rPr>
        <w:t xml:space="preserve"> Columbia Pro</w:t>
      </w:r>
      <w:r>
        <w:rPr>
          <w:color w:val="000000"/>
        </w:rPr>
        <w:t xml:space="preserve">vincial Museum </w:t>
      </w:r>
      <w:proofErr w:type="spellStart"/>
      <w:r>
        <w:rPr>
          <w:color w:val="000000"/>
        </w:rPr>
        <w:t>Handbood</w:t>
      </w:r>
      <w:proofErr w:type="spellEnd"/>
      <w:r>
        <w:rPr>
          <w:color w:val="000000"/>
        </w:rPr>
        <w:t xml:space="preserve"> 34. Victoria, B.C. 259 pp</w:t>
      </w:r>
    </w:p>
    <w:p w14:paraId="451AEDDE" w14:textId="77777777" w:rsidR="00B921EA" w:rsidRDefault="00BE3086">
      <w:pPr>
        <w:pBdr>
          <w:top w:val="nil"/>
          <w:left w:val="nil"/>
          <w:bottom w:val="nil"/>
          <w:right w:val="nil"/>
          <w:between w:val="nil"/>
        </w:pBdr>
        <w:ind w:left="360" w:hanging="360"/>
        <w:rPr>
          <w:color w:val="000000"/>
        </w:rPr>
      </w:pPr>
      <w:r>
        <w:rPr>
          <w:color w:val="000000"/>
        </w:rPr>
        <w:t>UNFAO (2017)</w:t>
      </w:r>
      <w:r>
        <w:t xml:space="preserve"> </w:t>
      </w:r>
      <w:r>
        <w:rPr>
          <w:color w:val="000000"/>
        </w:rPr>
        <w:t>UN Food and Agricultural Statistical Database for agricultural production.</w:t>
      </w:r>
      <w:r>
        <w:t xml:space="preserve"> </w:t>
      </w:r>
      <w:hyperlink r:id="rId53" w:anchor="data/QC">
        <w:r>
          <w:rPr>
            <w:color w:val="0000FF"/>
            <w:u w:val="single"/>
          </w:rPr>
          <w:t>http://www.fao.org/faostat/en/#data/QC</w:t>
        </w:r>
      </w:hyperlink>
      <w:r>
        <w:t xml:space="preserve"> </w:t>
      </w:r>
      <w:r>
        <w:rPr>
          <w:color w:val="000000"/>
        </w:rPr>
        <w:t xml:space="preserve">accessed </w:t>
      </w:r>
      <w:proofErr w:type="gramStart"/>
      <w:r>
        <w:rPr>
          <w:color w:val="000000"/>
        </w:rPr>
        <w:t>08/08/2017</w:t>
      </w:r>
      <w:proofErr w:type="gramEnd"/>
    </w:p>
    <w:p w14:paraId="451AEDDF" w14:textId="77777777" w:rsidR="00B921EA" w:rsidRDefault="00BE3086">
      <w:pPr>
        <w:pBdr>
          <w:top w:val="nil"/>
          <w:left w:val="nil"/>
          <w:bottom w:val="nil"/>
          <w:right w:val="nil"/>
          <w:between w:val="nil"/>
        </w:pBdr>
        <w:ind w:left="360" w:hanging="360"/>
        <w:rPr>
          <w:color w:val="000000"/>
        </w:rPr>
      </w:pPr>
      <w:r>
        <w:rPr>
          <w:color w:val="000000"/>
        </w:rPr>
        <w:t xml:space="preserve">Vander </w:t>
      </w:r>
      <w:proofErr w:type="spellStart"/>
      <w:r>
        <w:rPr>
          <w:color w:val="000000"/>
        </w:rPr>
        <w:t>Kloet</w:t>
      </w:r>
      <w:proofErr w:type="spellEnd"/>
      <w:r>
        <w:rPr>
          <w:color w:val="000000"/>
        </w:rPr>
        <w:t xml:space="preserve"> SP (1988). The genus </w:t>
      </w:r>
      <w:r>
        <w:rPr>
          <w:i/>
          <w:color w:val="000000"/>
        </w:rPr>
        <w:t>Vaccinium</w:t>
      </w:r>
      <w:r>
        <w:rPr>
          <w:color w:val="000000"/>
        </w:rPr>
        <w:t xml:space="preserve"> in North America </w:t>
      </w:r>
    </w:p>
    <w:p w14:paraId="451AEDE0" w14:textId="77777777" w:rsidR="00B921EA" w:rsidRDefault="00BE3086">
      <w:pPr>
        <w:ind w:left="360" w:hanging="360"/>
      </w:pPr>
      <w:r>
        <w:t xml:space="preserve">Vander </w:t>
      </w:r>
      <w:proofErr w:type="spellStart"/>
      <w:r>
        <w:t>Kloet</w:t>
      </w:r>
      <w:proofErr w:type="spellEnd"/>
      <w:r>
        <w:t xml:space="preserve"> SP, Avery TS (2010) </w:t>
      </w:r>
      <w:r>
        <w:rPr>
          <w:i/>
        </w:rPr>
        <w:t>Vaccinium</w:t>
      </w:r>
      <w:r>
        <w:t xml:space="preserve"> on the edge. Edinburgh J. Bot. 67(1):7-24</w:t>
      </w:r>
    </w:p>
    <w:p w14:paraId="451AEDE1" w14:textId="77777777" w:rsidR="00B921EA" w:rsidRDefault="00BE3086">
      <w:pPr>
        <w:ind w:left="360" w:hanging="360"/>
      </w:pPr>
      <w:r>
        <w:t>Vorsa N, Polash</w:t>
      </w:r>
      <w:r>
        <w:t xml:space="preserve">ock J, Howell A, Cunningham D, Roderick R. (2002). Evaluation of fruit chemistry in cranberry germplasm: potential for breeding varieties with enhanced health constituents. Acta </w:t>
      </w:r>
      <w:proofErr w:type="spellStart"/>
      <w:r>
        <w:t>Hortic</w:t>
      </w:r>
      <w:proofErr w:type="spellEnd"/>
      <w:r>
        <w:t>. 574: 215-219</w:t>
      </w:r>
    </w:p>
    <w:p w14:paraId="451AEDE2" w14:textId="77777777" w:rsidR="00B921EA" w:rsidRDefault="00BE3086">
      <w:pPr>
        <w:ind w:left="360" w:hanging="360"/>
      </w:pPr>
      <w:r>
        <w:t>Vorsa N, Johnson-Cicalese J (2012). American cranberry. C</w:t>
      </w:r>
      <w:r>
        <w:t xml:space="preserve">hapter 6, pp.191-223 In: </w:t>
      </w:r>
      <w:proofErr w:type="spellStart"/>
      <w:r>
        <w:t>Badenes</w:t>
      </w:r>
      <w:proofErr w:type="spellEnd"/>
      <w:r>
        <w:t xml:space="preserve">, ML and DH Byrne Fruit Breeding Springer New York </w:t>
      </w:r>
    </w:p>
    <w:p w14:paraId="451AEDE3" w14:textId="77777777" w:rsidR="00B921EA" w:rsidRDefault="00BE3086">
      <w:pPr>
        <w:ind w:left="360" w:hanging="360"/>
      </w:pPr>
      <w:r>
        <w:t>Wang Y, Han A, Chen E, Singh RK, Chichester CO, Moore RG, Singh AP, Vorsa N (2015). The cranberry flavonoids PAC DP-9 and quercetin aglycone induce cytotoxicity and cell cy</w:t>
      </w:r>
      <w:r>
        <w:t>cle arrest and increase cisplatin sensitivity in ovarian cancer cells. Int. J. Oncology 46: 1924-1934</w:t>
      </w:r>
    </w:p>
    <w:p w14:paraId="451AEDE4" w14:textId="77777777" w:rsidR="00B921EA" w:rsidRDefault="00BE3086">
      <w:pPr>
        <w:ind w:left="360" w:hanging="360"/>
      </w:pPr>
      <w:r>
        <w:t>Weakley AS (2000). Flora of the Carolinas and Virginia: working draft of May 15, 2000. Unpublished draft, The Nature Conservancy, Southern Resource Office</w:t>
      </w:r>
      <w:r>
        <w:t>.</w:t>
      </w:r>
    </w:p>
    <w:p w14:paraId="451AEDE5" w14:textId="77777777" w:rsidR="00B921EA" w:rsidRDefault="00BE3086">
      <w:pPr>
        <w:ind w:left="360" w:hanging="360"/>
      </w:pPr>
      <w:r>
        <w:t>Wilcox RB, Beckwith CS (1933). A factor in the varietal resistance of cranberries to the false blossom disease. J. Agric. Res. 47:583-590</w:t>
      </w:r>
    </w:p>
    <w:p w14:paraId="451AEDE6" w14:textId="77777777" w:rsidR="00B921EA" w:rsidRDefault="00B921EA">
      <w:pPr>
        <w:pBdr>
          <w:top w:val="nil"/>
          <w:left w:val="nil"/>
          <w:bottom w:val="nil"/>
          <w:right w:val="nil"/>
          <w:between w:val="nil"/>
        </w:pBdr>
        <w:ind w:left="720" w:hanging="720"/>
        <w:rPr>
          <w:b/>
          <w:color w:val="000000"/>
        </w:rPr>
      </w:pPr>
    </w:p>
    <w:p w14:paraId="451AEDE7" w14:textId="77777777" w:rsidR="00B921EA" w:rsidRDefault="00B921EA">
      <w:pPr>
        <w:pBdr>
          <w:top w:val="nil"/>
          <w:left w:val="nil"/>
          <w:bottom w:val="nil"/>
          <w:right w:val="nil"/>
          <w:between w:val="nil"/>
        </w:pBdr>
        <w:ind w:left="720" w:hanging="720"/>
        <w:rPr>
          <w:b/>
          <w:color w:val="000000"/>
        </w:rPr>
      </w:pPr>
    </w:p>
    <w:p w14:paraId="451AEDE8" w14:textId="77777777" w:rsidR="00B921EA" w:rsidRDefault="00BE3086">
      <w:pPr>
        <w:pBdr>
          <w:top w:val="nil"/>
          <w:left w:val="nil"/>
          <w:bottom w:val="nil"/>
          <w:right w:val="nil"/>
          <w:between w:val="nil"/>
        </w:pBdr>
        <w:ind w:left="720" w:hanging="720"/>
        <w:rPr>
          <w:b/>
          <w:color w:val="000000"/>
        </w:rPr>
      </w:pPr>
      <w:r>
        <w:rPr>
          <w:b/>
          <w:color w:val="000000"/>
        </w:rPr>
        <w:lastRenderedPageBreak/>
        <w:t xml:space="preserve">7. </w:t>
      </w:r>
      <w:r>
        <w:rPr>
          <w:b/>
          <w:color w:val="000000"/>
        </w:rPr>
        <w:tab/>
        <w:t>Appendices</w:t>
      </w:r>
    </w:p>
    <w:p w14:paraId="451AEDE9" w14:textId="77777777" w:rsidR="00B921EA" w:rsidRDefault="00B921EA">
      <w:pPr>
        <w:pBdr>
          <w:top w:val="nil"/>
          <w:left w:val="nil"/>
          <w:bottom w:val="nil"/>
          <w:right w:val="nil"/>
          <w:between w:val="nil"/>
        </w:pBdr>
        <w:ind w:left="720" w:hanging="720"/>
        <w:rPr>
          <w:b/>
          <w:color w:val="000000"/>
        </w:rPr>
      </w:pPr>
    </w:p>
    <w:p w14:paraId="451AEDEA" w14:textId="77777777" w:rsidR="00B921EA" w:rsidRDefault="00BE3086">
      <w:pPr>
        <w:pBdr>
          <w:top w:val="nil"/>
          <w:left w:val="nil"/>
          <w:bottom w:val="nil"/>
          <w:right w:val="nil"/>
          <w:between w:val="nil"/>
        </w:pBdr>
        <w:ind w:left="720" w:hanging="720"/>
        <w:rPr>
          <w:b/>
          <w:color w:val="000000"/>
        </w:rPr>
      </w:pPr>
      <w:r>
        <w:rPr>
          <w:b/>
          <w:color w:val="000000"/>
        </w:rPr>
        <w:t>Appendix Table 1. Cranberry crop wild relative species and synonyms listed in GRIN, October 2017.</w:t>
      </w:r>
    </w:p>
    <w:p w14:paraId="451AEDEB" w14:textId="77777777" w:rsidR="00B921EA" w:rsidRDefault="00BE3086">
      <w:pPr>
        <w:numPr>
          <w:ilvl w:val="0"/>
          <w:numId w:val="4"/>
        </w:numPr>
        <w:spacing w:before="280"/>
      </w:pPr>
      <w:hyperlink r:id="rId54">
        <w:r>
          <w:rPr>
            <w:b/>
            <w:i/>
            <w:color w:val="0000FF"/>
            <w:u w:val="single"/>
          </w:rPr>
          <w:t xml:space="preserve">Vaccinium </w:t>
        </w:r>
        <w:proofErr w:type="spellStart"/>
        <w:r>
          <w:rPr>
            <w:b/>
            <w:i/>
            <w:color w:val="0000FF"/>
            <w:u w:val="single"/>
          </w:rPr>
          <w:t>erythrocarpum</w:t>
        </w:r>
        <w:proofErr w:type="spellEnd"/>
      </w:hyperlink>
      <w:hyperlink r:id="rId55">
        <w:r>
          <w:rPr>
            <w:b/>
            <w:color w:val="0000FF"/>
            <w:u w:val="single"/>
          </w:rPr>
          <w:t xml:space="preserve"> </w:t>
        </w:r>
        <w:proofErr w:type="spellStart"/>
        <w:r>
          <w:rPr>
            <w:b/>
            <w:color w:val="0000FF"/>
            <w:u w:val="single"/>
          </w:rPr>
          <w:t>Michx</w:t>
        </w:r>
        <w:proofErr w:type="spellEnd"/>
        <w:r>
          <w:rPr>
            <w:b/>
            <w:color w:val="0000FF"/>
            <w:u w:val="single"/>
          </w:rPr>
          <w:t>.</w:t>
        </w:r>
      </w:hyperlink>
    </w:p>
    <w:p w14:paraId="451AEDEC" w14:textId="77777777" w:rsidR="00B921EA" w:rsidRDefault="00BE3086">
      <w:pPr>
        <w:numPr>
          <w:ilvl w:val="0"/>
          <w:numId w:val="4"/>
        </w:numPr>
      </w:pPr>
      <w:hyperlink r:id="rId56">
        <w:r>
          <w:rPr>
            <w:b/>
            <w:i/>
            <w:color w:val="0000FF"/>
            <w:u w:val="single"/>
          </w:rPr>
          <w:t xml:space="preserve">Vaccinium </w:t>
        </w:r>
        <w:proofErr w:type="spellStart"/>
        <w:r>
          <w:rPr>
            <w:b/>
            <w:i/>
            <w:color w:val="0000FF"/>
            <w:u w:val="single"/>
          </w:rPr>
          <w:t>erythrocarpum</w:t>
        </w:r>
        <w:proofErr w:type="spellEnd"/>
      </w:hyperlink>
      <w:hyperlink r:id="rId57">
        <w:r>
          <w:rPr>
            <w:b/>
            <w:color w:val="0000FF"/>
            <w:u w:val="single"/>
          </w:rPr>
          <w:t xml:space="preserve"> subsp. </w:t>
        </w:r>
      </w:hyperlink>
      <w:hyperlink r:id="rId58">
        <w:proofErr w:type="spellStart"/>
        <w:r>
          <w:rPr>
            <w:b/>
            <w:i/>
            <w:color w:val="0000FF"/>
            <w:u w:val="single"/>
          </w:rPr>
          <w:t>erythrocarpum</w:t>
        </w:r>
        <w:proofErr w:type="spellEnd"/>
      </w:hyperlink>
      <w:hyperlink r:id="rId59">
        <w:r>
          <w:rPr>
            <w:b/>
            <w:color w:val="0000FF"/>
            <w:u w:val="single"/>
          </w:rPr>
          <w:t xml:space="preserve"> </w:t>
        </w:r>
      </w:hyperlink>
    </w:p>
    <w:p w14:paraId="451AEDED" w14:textId="77777777" w:rsidR="00B921EA" w:rsidRDefault="00BE3086">
      <w:pPr>
        <w:numPr>
          <w:ilvl w:val="0"/>
          <w:numId w:val="4"/>
        </w:numPr>
      </w:pPr>
      <w:hyperlink r:id="rId60">
        <w:r>
          <w:rPr>
            <w:b/>
            <w:i/>
            <w:color w:val="0000FF"/>
            <w:u w:val="single"/>
          </w:rPr>
          <w:t xml:space="preserve">Vaccinium </w:t>
        </w:r>
        <w:proofErr w:type="spellStart"/>
        <w:r>
          <w:rPr>
            <w:b/>
            <w:i/>
            <w:color w:val="0000FF"/>
            <w:u w:val="single"/>
          </w:rPr>
          <w:t>erythrocarpum</w:t>
        </w:r>
        <w:proofErr w:type="spellEnd"/>
      </w:hyperlink>
      <w:hyperlink r:id="rId61">
        <w:r>
          <w:rPr>
            <w:b/>
            <w:color w:val="0000FF"/>
            <w:u w:val="single"/>
          </w:rPr>
          <w:t xml:space="preserve"> subsp. </w:t>
        </w:r>
      </w:hyperlink>
      <w:hyperlink r:id="rId62">
        <w:r>
          <w:rPr>
            <w:b/>
            <w:i/>
            <w:color w:val="0000FF"/>
            <w:u w:val="single"/>
          </w:rPr>
          <w:t>japonicum</w:t>
        </w:r>
      </w:hyperlink>
      <w:hyperlink r:id="rId63">
        <w:r>
          <w:rPr>
            <w:b/>
            <w:color w:val="0000FF"/>
            <w:u w:val="single"/>
          </w:rPr>
          <w:t xml:space="preserve"> (</w:t>
        </w:r>
        <w:proofErr w:type="spellStart"/>
        <w:r>
          <w:rPr>
            <w:b/>
            <w:color w:val="0000FF"/>
            <w:u w:val="single"/>
          </w:rPr>
          <w:t>Miq</w:t>
        </w:r>
        <w:proofErr w:type="spellEnd"/>
        <w:r>
          <w:rPr>
            <w:b/>
            <w:color w:val="0000FF"/>
            <w:u w:val="single"/>
          </w:rPr>
          <w:t xml:space="preserve">.) Vander </w:t>
        </w:r>
        <w:proofErr w:type="spellStart"/>
        <w:r>
          <w:rPr>
            <w:b/>
            <w:color w:val="0000FF"/>
            <w:u w:val="single"/>
          </w:rPr>
          <w:t>Kloet</w:t>
        </w:r>
        <w:proofErr w:type="spellEnd"/>
      </w:hyperlink>
    </w:p>
    <w:p w14:paraId="451AEDEE" w14:textId="77777777" w:rsidR="00B921EA" w:rsidRDefault="00BE3086">
      <w:pPr>
        <w:numPr>
          <w:ilvl w:val="0"/>
          <w:numId w:val="4"/>
        </w:numPr>
      </w:pPr>
      <w:hyperlink r:id="rId64">
        <w:r>
          <w:rPr>
            <w:b/>
            <w:i/>
            <w:color w:val="0000FF"/>
            <w:u w:val="single"/>
          </w:rPr>
          <w:t xml:space="preserve">Vaccinium </w:t>
        </w:r>
        <w:proofErr w:type="spellStart"/>
        <w:r>
          <w:rPr>
            <w:b/>
            <w:i/>
            <w:color w:val="0000FF"/>
            <w:u w:val="single"/>
          </w:rPr>
          <w:t>hybr</w:t>
        </w:r>
        <w:proofErr w:type="spellEnd"/>
        <w:r>
          <w:rPr>
            <w:b/>
            <w:i/>
            <w:color w:val="0000FF"/>
            <w:u w:val="single"/>
          </w:rPr>
          <w:t>.</w:t>
        </w:r>
      </w:hyperlink>
      <w:hyperlink r:id="rId65">
        <w:r>
          <w:rPr>
            <w:b/>
            <w:color w:val="0000FF"/>
            <w:u w:val="single"/>
          </w:rPr>
          <w:t xml:space="preserve"> </w:t>
        </w:r>
      </w:hyperlink>
    </w:p>
    <w:p w14:paraId="451AEDEF" w14:textId="77777777" w:rsidR="00B921EA" w:rsidRDefault="00BE3086">
      <w:pPr>
        <w:numPr>
          <w:ilvl w:val="0"/>
          <w:numId w:val="4"/>
        </w:numPr>
      </w:pPr>
      <w:hyperlink r:id="rId66">
        <w:r>
          <w:rPr>
            <w:b/>
            <w:i/>
            <w:color w:val="0000FF"/>
            <w:u w:val="single"/>
          </w:rPr>
          <w:t>Vaccinium macrocarpon</w:t>
        </w:r>
      </w:hyperlink>
      <w:hyperlink r:id="rId67">
        <w:r>
          <w:rPr>
            <w:b/>
            <w:color w:val="0000FF"/>
            <w:u w:val="single"/>
          </w:rPr>
          <w:t xml:space="preserve"> </w:t>
        </w:r>
        <w:proofErr w:type="spellStart"/>
        <w:r>
          <w:rPr>
            <w:b/>
            <w:color w:val="0000FF"/>
            <w:u w:val="single"/>
          </w:rPr>
          <w:t>Aiton</w:t>
        </w:r>
        <w:proofErr w:type="spellEnd"/>
      </w:hyperlink>
    </w:p>
    <w:p w14:paraId="451AEDF0" w14:textId="77777777" w:rsidR="00B921EA" w:rsidRDefault="00BE3086">
      <w:pPr>
        <w:numPr>
          <w:ilvl w:val="0"/>
          <w:numId w:val="4"/>
        </w:numPr>
      </w:pPr>
      <w:hyperlink r:id="rId68">
        <w:r>
          <w:rPr>
            <w:b/>
            <w:i/>
            <w:color w:val="0000FF"/>
            <w:u w:val="single"/>
          </w:rPr>
          <w:t xml:space="preserve">Vaccinium </w:t>
        </w:r>
        <w:proofErr w:type="spellStart"/>
        <w:r>
          <w:rPr>
            <w:b/>
            <w:i/>
            <w:color w:val="0000FF"/>
            <w:u w:val="single"/>
          </w:rPr>
          <w:t>oxycoccos</w:t>
        </w:r>
        <w:proofErr w:type="spellEnd"/>
      </w:hyperlink>
      <w:hyperlink r:id="rId69">
        <w:r>
          <w:rPr>
            <w:b/>
            <w:color w:val="0000FF"/>
            <w:u w:val="single"/>
          </w:rPr>
          <w:t xml:space="preserve"> L.</w:t>
        </w:r>
      </w:hyperlink>
    </w:p>
    <w:p w14:paraId="451AEDF1" w14:textId="77777777" w:rsidR="00B921EA" w:rsidRDefault="00BE3086">
      <w:pPr>
        <w:numPr>
          <w:ilvl w:val="0"/>
          <w:numId w:val="4"/>
        </w:numPr>
      </w:pPr>
      <w:hyperlink r:id="rId70">
        <w:r>
          <w:rPr>
            <w:b/>
            <w:i/>
            <w:color w:val="0000FF"/>
            <w:u w:val="single"/>
          </w:rPr>
          <w:t>Vaccinium vitis-idaea</w:t>
        </w:r>
      </w:hyperlink>
      <w:hyperlink r:id="rId71">
        <w:r>
          <w:rPr>
            <w:b/>
            <w:color w:val="0000FF"/>
            <w:u w:val="single"/>
          </w:rPr>
          <w:t xml:space="preserve"> L.</w:t>
        </w:r>
      </w:hyperlink>
    </w:p>
    <w:p w14:paraId="451AEDF2" w14:textId="77777777" w:rsidR="00B921EA" w:rsidRDefault="00BE3086">
      <w:pPr>
        <w:numPr>
          <w:ilvl w:val="0"/>
          <w:numId w:val="4"/>
        </w:numPr>
      </w:pPr>
      <w:hyperlink r:id="rId72">
        <w:r>
          <w:rPr>
            <w:i/>
            <w:color w:val="0000FF"/>
            <w:u w:val="single"/>
          </w:rPr>
          <w:t>Vaccinium vitis-idaea</w:t>
        </w:r>
      </w:hyperlink>
      <w:hyperlink r:id="rId73">
        <w:r>
          <w:rPr>
            <w:color w:val="0000FF"/>
            <w:u w:val="single"/>
          </w:rPr>
          <w:t xml:space="preserve"> subsp. </w:t>
        </w:r>
      </w:hyperlink>
      <w:hyperlink r:id="rId74">
        <w:r>
          <w:rPr>
            <w:i/>
            <w:color w:val="0000FF"/>
            <w:u w:val="single"/>
          </w:rPr>
          <w:t>minus</w:t>
        </w:r>
      </w:hyperlink>
      <w:hyperlink r:id="rId75">
        <w:r>
          <w:rPr>
            <w:color w:val="0000FF"/>
            <w:u w:val="single"/>
          </w:rPr>
          <w:t xml:space="preserve"> (</w:t>
        </w:r>
        <w:proofErr w:type="spellStart"/>
        <w:r>
          <w:rPr>
            <w:color w:val="0000FF"/>
            <w:u w:val="single"/>
          </w:rPr>
          <w:t>Lodd</w:t>
        </w:r>
        <w:proofErr w:type="spellEnd"/>
        <w:r>
          <w:rPr>
            <w:color w:val="0000FF"/>
            <w:u w:val="single"/>
          </w:rPr>
          <w:t xml:space="preserve">. et al.) </w:t>
        </w:r>
        <w:proofErr w:type="spellStart"/>
        <w:r>
          <w:rPr>
            <w:color w:val="0000FF"/>
            <w:u w:val="single"/>
          </w:rPr>
          <w:t>Hulten</w:t>
        </w:r>
        <w:proofErr w:type="spellEnd"/>
        <w:r>
          <w:rPr>
            <w:color w:val="0000FF"/>
            <w:u w:val="single"/>
          </w:rPr>
          <w:t xml:space="preserve"> (=</w:t>
        </w:r>
      </w:hyperlink>
      <w:hyperlink r:id="rId76">
        <w:r>
          <w:rPr>
            <w:b/>
            <w:i/>
            <w:color w:val="0000FF"/>
            <w:u w:val="single"/>
          </w:rPr>
          <w:t>Vaccinium vitis-idaea</w:t>
        </w:r>
      </w:hyperlink>
      <w:hyperlink r:id="rId77">
        <w:r>
          <w:rPr>
            <w:b/>
            <w:color w:val="0000FF"/>
            <w:u w:val="single"/>
          </w:rPr>
          <w:t xml:space="preserve"> L.</w:t>
        </w:r>
      </w:hyperlink>
      <w:hyperlink r:id="rId78">
        <w:r>
          <w:rPr>
            <w:color w:val="0000FF"/>
            <w:u w:val="single"/>
          </w:rPr>
          <w:t>)</w:t>
        </w:r>
      </w:hyperlink>
    </w:p>
    <w:p w14:paraId="451AEDF3" w14:textId="77777777" w:rsidR="00B921EA" w:rsidRDefault="00BE3086">
      <w:pPr>
        <w:numPr>
          <w:ilvl w:val="0"/>
          <w:numId w:val="4"/>
        </w:numPr>
        <w:spacing w:after="280"/>
      </w:pPr>
      <w:hyperlink r:id="rId79">
        <w:r>
          <w:rPr>
            <w:i/>
            <w:color w:val="0000FF"/>
            <w:u w:val="single"/>
          </w:rPr>
          <w:t>Vaccinium vitis-idaea</w:t>
        </w:r>
      </w:hyperlink>
      <w:hyperlink r:id="rId80">
        <w:r>
          <w:rPr>
            <w:color w:val="0000FF"/>
            <w:u w:val="single"/>
          </w:rPr>
          <w:t xml:space="preserve"> var. </w:t>
        </w:r>
      </w:hyperlink>
      <w:hyperlink r:id="rId81">
        <w:r>
          <w:rPr>
            <w:i/>
            <w:color w:val="0000FF"/>
            <w:u w:val="single"/>
          </w:rPr>
          <w:t>minus</w:t>
        </w:r>
      </w:hyperlink>
      <w:hyperlink r:id="rId82">
        <w:r>
          <w:rPr>
            <w:color w:val="0000FF"/>
            <w:u w:val="single"/>
          </w:rPr>
          <w:t xml:space="preserve"> </w:t>
        </w:r>
        <w:proofErr w:type="spellStart"/>
        <w:r>
          <w:rPr>
            <w:color w:val="0000FF"/>
            <w:u w:val="single"/>
          </w:rPr>
          <w:t>Lodd</w:t>
        </w:r>
        <w:proofErr w:type="spellEnd"/>
        <w:r>
          <w:rPr>
            <w:color w:val="0000FF"/>
            <w:u w:val="single"/>
          </w:rPr>
          <w:t>. et al. (=</w:t>
        </w:r>
      </w:hyperlink>
      <w:hyperlink r:id="rId83">
        <w:r>
          <w:rPr>
            <w:b/>
            <w:i/>
            <w:color w:val="0000FF"/>
            <w:u w:val="single"/>
          </w:rPr>
          <w:t>Vaccinium vitis-idaea</w:t>
        </w:r>
      </w:hyperlink>
      <w:hyperlink r:id="rId84">
        <w:r>
          <w:rPr>
            <w:b/>
            <w:color w:val="0000FF"/>
            <w:u w:val="single"/>
          </w:rPr>
          <w:t xml:space="preserve"> L.</w:t>
        </w:r>
      </w:hyperlink>
      <w:hyperlink r:id="rId85">
        <w:r>
          <w:rPr>
            <w:color w:val="0000FF"/>
            <w:u w:val="single"/>
          </w:rPr>
          <w:t>)</w:t>
        </w:r>
      </w:hyperlink>
    </w:p>
    <w:p w14:paraId="451AEDF4" w14:textId="77777777" w:rsidR="00B921EA" w:rsidRDefault="00B921EA">
      <w:pPr>
        <w:rPr>
          <w:b/>
        </w:rPr>
      </w:pPr>
    </w:p>
    <w:p w14:paraId="451AEDF5" w14:textId="77777777" w:rsidR="00B921EA" w:rsidRDefault="00B921EA">
      <w:pPr>
        <w:rPr>
          <w:b/>
        </w:rPr>
      </w:pPr>
    </w:p>
    <w:p w14:paraId="451AEDF6" w14:textId="77777777" w:rsidR="00B921EA" w:rsidRDefault="00BE3086">
      <w:pPr>
        <w:rPr>
          <w:b/>
        </w:rPr>
      </w:pPr>
      <w:r>
        <w:rPr>
          <w:b/>
        </w:rPr>
        <w:t xml:space="preserve">Appendix Table 2. Cranberry and crop wild </w:t>
      </w:r>
      <w:proofErr w:type="gramStart"/>
      <w:r>
        <w:rPr>
          <w:b/>
        </w:rPr>
        <w:t>relatives</w:t>
      </w:r>
      <w:proofErr w:type="gramEnd"/>
      <w:r>
        <w:rPr>
          <w:b/>
        </w:rPr>
        <w:t xml:space="preserve"> species held at the NCGR-Corvallis (Grin-Global October 2017)</w:t>
      </w:r>
    </w:p>
    <w:tbl>
      <w:tblPr>
        <w:tblStyle w:val="a0"/>
        <w:tblW w:w="4294" w:type="dxa"/>
        <w:tblInd w:w="505" w:type="dxa"/>
        <w:tblLayout w:type="fixed"/>
        <w:tblLook w:val="0400" w:firstRow="0" w:lastRow="0" w:firstColumn="0" w:lastColumn="0" w:noHBand="0" w:noVBand="1"/>
      </w:tblPr>
      <w:tblGrid>
        <w:gridCol w:w="3120"/>
        <w:gridCol w:w="1174"/>
      </w:tblGrid>
      <w:tr w:rsidR="00B921EA" w14:paraId="451AEDF9" w14:textId="77777777">
        <w:trPr>
          <w:trHeight w:val="503"/>
        </w:trPr>
        <w:tc>
          <w:tcPr>
            <w:tcW w:w="3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AEDF7" w14:textId="77777777" w:rsidR="00B921EA" w:rsidRDefault="00BE3086">
            <w:pPr>
              <w:rPr>
                <w:rFonts w:ascii="Calibri" w:eastAsia="Calibri" w:hAnsi="Calibri" w:cs="Calibri"/>
                <w:b/>
                <w:color w:val="000000"/>
              </w:rPr>
            </w:pPr>
            <w:r>
              <w:rPr>
                <w:rFonts w:ascii="Calibri" w:eastAsia="Calibri" w:hAnsi="Calibri" w:cs="Calibri"/>
                <w:b/>
                <w:color w:val="000000"/>
              </w:rPr>
              <w:t xml:space="preserve">Species </w:t>
            </w:r>
            <w:r>
              <w:rPr>
                <w:rFonts w:ascii="Calibri" w:eastAsia="Calibri" w:hAnsi="Calibri" w:cs="Calibri"/>
                <w:b/>
                <w:color w:val="000000"/>
              </w:rPr>
              <w:t>name</w:t>
            </w:r>
          </w:p>
        </w:tc>
        <w:tc>
          <w:tcPr>
            <w:tcW w:w="1174" w:type="dxa"/>
            <w:tcBorders>
              <w:top w:val="single" w:sz="4" w:space="0" w:color="000000"/>
              <w:left w:val="nil"/>
              <w:bottom w:val="single" w:sz="4" w:space="0" w:color="000000"/>
              <w:right w:val="single" w:sz="4" w:space="0" w:color="000000"/>
            </w:tcBorders>
            <w:shd w:val="clear" w:color="auto" w:fill="auto"/>
            <w:vAlign w:val="center"/>
          </w:tcPr>
          <w:p w14:paraId="451AEDF8" w14:textId="77777777" w:rsidR="00B921EA" w:rsidRDefault="00BE3086">
            <w:pPr>
              <w:rPr>
                <w:rFonts w:ascii="Calibri" w:eastAsia="Calibri" w:hAnsi="Calibri" w:cs="Calibri"/>
                <w:b/>
                <w:color w:val="000000"/>
                <w:sz w:val="22"/>
                <w:szCs w:val="22"/>
              </w:rPr>
            </w:pPr>
            <w:r>
              <w:rPr>
                <w:rFonts w:ascii="Calibri" w:eastAsia="Calibri" w:hAnsi="Calibri" w:cs="Calibri"/>
                <w:b/>
                <w:color w:val="000000"/>
                <w:sz w:val="22"/>
                <w:szCs w:val="22"/>
              </w:rPr>
              <w:t>No. accessions</w:t>
            </w:r>
          </w:p>
        </w:tc>
      </w:tr>
      <w:tr w:rsidR="00B921EA" w14:paraId="451AEDFC" w14:textId="77777777">
        <w:trPr>
          <w:trHeight w:val="300"/>
        </w:trPr>
        <w:tc>
          <w:tcPr>
            <w:tcW w:w="3120" w:type="dxa"/>
            <w:tcBorders>
              <w:top w:val="nil"/>
              <w:left w:val="single" w:sz="4" w:space="0" w:color="000000"/>
              <w:bottom w:val="single" w:sz="4" w:space="0" w:color="000000"/>
              <w:right w:val="single" w:sz="4" w:space="0" w:color="000000"/>
            </w:tcBorders>
            <w:shd w:val="clear" w:color="auto" w:fill="auto"/>
            <w:vAlign w:val="center"/>
          </w:tcPr>
          <w:p w14:paraId="451AEDFA" w14:textId="77777777" w:rsidR="00B921EA" w:rsidRDefault="00BE3086">
            <w:pPr>
              <w:rPr>
                <w:rFonts w:ascii="Calibri" w:eastAsia="Calibri" w:hAnsi="Calibri" w:cs="Calibri"/>
                <w:i/>
                <w:color w:val="000000"/>
                <w:sz w:val="22"/>
                <w:szCs w:val="22"/>
              </w:rPr>
            </w:pPr>
            <w:r>
              <w:rPr>
                <w:rFonts w:ascii="Calibri" w:eastAsia="Calibri" w:hAnsi="Calibri" w:cs="Calibri"/>
                <w:i/>
                <w:color w:val="000000"/>
                <w:sz w:val="22"/>
                <w:szCs w:val="22"/>
              </w:rPr>
              <w:t xml:space="preserve">Vaccinium </w:t>
            </w:r>
            <w:proofErr w:type="spellStart"/>
            <w:r>
              <w:rPr>
                <w:rFonts w:ascii="Calibri" w:eastAsia="Calibri" w:hAnsi="Calibri" w:cs="Calibri"/>
                <w:i/>
                <w:color w:val="000000"/>
                <w:sz w:val="22"/>
                <w:szCs w:val="22"/>
              </w:rPr>
              <w:t>erythrocarpum</w:t>
            </w:r>
            <w:proofErr w:type="spellEnd"/>
            <w:r>
              <w:rPr>
                <w:rFonts w:ascii="Calibri" w:eastAsia="Calibri" w:hAnsi="Calibri" w:cs="Calibri"/>
                <w:i/>
                <w:sz w:val="22"/>
                <w:szCs w:val="22"/>
              </w:rPr>
              <w:t xml:space="preserve"> </w:t>
            </w:r>
          </w:p>
        </w:tc>
        <w:tc>
          <w:tcPr>
            <w:tcW w:w="1174" w:type="dxa"/>
            <w:tcBorders>
              <w:top w:val="nil"/>
              <w:left w:val="nil"/>
              <w:bottom w:val="single" w:sz="4" w:space="0" w:color="000000"/>
              <w:right w:val="single" w:sz="4" w:space="0" w:color="000000"/>
            </w:tcBorders>
            <w:shd w:val="clear" w:color="auto" w:fill="auto"/>
            <w:vAlign w:val="center"/>
          </w:tcPr>
          <w:p w14:paraId="451AEDFB"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5</w:t>
            </w:r>
          </w:p>
        </w:tc>
      </w:tr>
      <w:tr w:rsidR="00B921EA" w14:paraId="451AEDFF" w14:textId="77777777">
        <w:trPr>
          <w:trHeight w:val="300"/>
        </w:trPr>
        <w:tc>
          <w:tcPr>
            <w:tcW w:w="3120" w:type="dxa"/>
            <w:tcBorders>
              <w:top w:val="nil"/>
              <w:left w:val="single" w:sz="4" w:space="0" w:color="000000"/>
              <w:bottom w:val="single" w:sz="4" w:space="0" w:color="000000"/>
              <w:right w:val="single" w:sz="4" w:space="0" w:color="000000"/>
            </w:tcBorders>
            <w:shd w:val="clear" w:color="auto" w:fill="auto"/>
            <w:vAlign w:val="center"/>
          </w:tcPr>
          <w:p w14:paraId="451AEDFD" w14:textId="77777777" w:rsidR="00B921EA" w:rsidRDefault="00BE3086">
            <w:pPr>
              <w:rPr>
                <w:rFonts w:ascii="Calibri" w:eastAsia="Calibri" w:hAnsi="Calibri" w:cs="Calibri"/>
                <w:i/>
                <w:color w:val="000000"/>
                <w:sz w:val="22"/>
                <w:szCs w:val="22"/>
              </w:rPr>
            </w:pPr>
            <w:r>
              <w:rPr>
                <w:rFonts w:ascii="Calibri" w:eastAsia="Calibri" w:hAnsi="Calibri" w:cs="Calibri"/>
                <w:i/>
                <w:color w:val="000000"/>
                <w:sz w:val="22"/>
                <w:szCs w:val="22"/>
              </w:rPr>
              <w:t xml:space="preserve">Vaccinium </w:t>
            </w:r>
            <w:proofErr w:type="spellStart"/>
            <w:r>
              <w:rPr>
                <w:rFonts w:ascii="Calibri" w:eastAsia="Calibri" w:hAnsi="Calibri" w:cs="Calibri"/>
                <w:i/>
                <w:color w:val="000000"/>
                <w:sz w:val="22"/>
                <w:szCs w:val="22"/>
              </w:rPr>
              <w:t>erythrocarpum</w:t>
            </w:r>
            <w:proofErr w:type="spellEnd"/>
            <w:r>
              <w:rPr>
                <w:rFonts w:ascii="Calibri" w:eastAsia="Calibri" w:hAnsi="Calibri" w:cs="Calibri"/>
                <w:i/>
                <w:color w:val="000000"/>
                <w:sz w:val="22"/>
                <w:szCs w:val="22"/>
              </w:rPr>
              <w:t xml:space="preserve"> subsp. japonicum</w:t>
            </w:r>
          </w:p>
        </w:tc>
        <w:tc>
          <w:tcPr>
            <w:tcW w:w="1174" w:type="dxa"/>
            <w:tcBorders>
              <w:top w:val="nil"/>
              <w:left w:val="nil"/>
              <w:bottom w:val="single" w:sz="4" w:space="0" w:color="000000"/>
              <w:right w:val="single" w:sz="4" w:space="0" w:color="000000"/>
            </w:tcBorders>
            <w:shd w:val="clear" w:color="auto" w:fill="auto"/>
            <w:vAlign w:val="center"/>
          </w:tcPr>
          <w:p w14:paraId="451AEDFE"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3</w:t>
            </w:r>
          </w:p>
        </w:tc>
      </w:tr>
      <w:tr w:rsidR="00B921EA" w14:paraId="451AEE02" w14:textId="77777777">
        <w:trPr>
          <w:trHeight w:val="300"/>
        </w:trPr>
        <w:tc>
          <w:tcPr>
            <w:tcW w:w="3120" w:type="dxa"/>
            <w:tcBorders>
              <w:top w:val="nil"/>
              <w:left w:val="single" w:sz="4" w:space="0" w:color="000000"/>
              <w:bottom w:val="single" w:sz="4" w:space="0" w:color="000000"/>
              <w:right w:val="single" w:sz="4" w:space="0" w:color="000000"/>
            </w:tcBorders>
            <w:shd w:val="clear" w:color="auto" w:fill="auto"/>
            <w:vAlign w:val="center"/>
          </w:tcPr>
          <w:p w14:paraId="451AEE00" w14:textId="77777777" w:rsidR="00B921EA" w:rsidRDefault="00BE3086">
            <w:pPr>
              <w:rPr>
                <w:rFonts w:ascii="Calibri" w:eastAsia="Calibri" w:hAnsi="Calibri" w:cs="Calibri"/>
                <w:i/>
                <w:color w:val="000000"/>
                <w:sz w:val="22"/>
                <w:szCs w:val="22"/>
              </w:rPr>
            </w:pPr>
            <w:r>
              <w:rPr>
                <w:rFonts w:ascii="Calibri" w:eastAsia="Calibri" w:hAnsi="Calibri" w:cs="Calibri"/>
                <w:i/>
                <w:color w:val="000000"/>
                <w:sz w:val="22"/>
                <w:szCs w:val="22"/>
              </w:rPr>
              <w:t xml:space="preserve">Vaccinium </w:t>
            </w:r>
            <w:proofErr w:type="spellStart"/>
            <w:r>
              <w:rPr>
                <w:rFonts w:ascii="Calibri" w:eastAsia="Calibri" w:hAnsi="Calibri" w:cs="Calibri"/>
                <w:i/>
                <w:color w:val="000000"/>
                <w:sz w:val="22"/>
                <w:szCs w:val="22"/>
              </w:rPr>
              <w:t>hybr</w:t>
            </w:r>
            <w:proofErr w:type="spellEnd"/>
            <w:r>
              <w:rPr>
                <w:rFonts w:ascii="Calibri" w:eastAsia="Calibri" w:hAnsi="Calibri" w:cs="Calibri"/>
                <w:i/>
                <w:color w:val="000000"/>
                <w:sz w:val="22"/>
                <w:szCs w:val="22"/>
              </w:rPr>
              <w:t xml:space="preserve">. </w:t>
            </w:r>
          </w:p>
        </w:tc>
        <w:tc>
          <w:tcPr>
            <w:tcW w:w="1174" w:type="dxa"/>
            <w:tcBorders>
              <w:top w:val="nil"/>
              <w:left w:val="nil"/>
              <w:bottom w:val="single" w:sz="4" w:space="0" w:color="000000"/>
              <w:right w:val="single" w:sz="4" w:space="0" w:color="000000"/>
            </w:tcBorders>
            <w:shd w:val="clear" w:color="auto" w:fill="auto"/>
            <w:vAlign w:val="center"/>
          </w:tcPr>
          <w:p w14:paraId="451AEE01"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74</w:t>
            </w:r>
          </w:p>
        </w:tc>
      </w:tr>
      <w:tr w:rsidR="00B921EA" w14:paraId="451AEE05" w14:textId="77777777">
        <w:trPr>
          <w:trHeight w:val="300"/>
        </w:trPr>
        <w:tc>
          <w:tcPr>
            <w:tcW w:w="3120" w:type="dxa"/>
            <w:tcBorders>
              <w:top w:val="nil"/>
              <w:left w:val="single" w:sz="4" w:space="0" w:color="000000"/>
              <w:bottom w:val="single" w:sz="4" w:space="0" w:color="000000"/>
              <w:right w:val="single" w:sz="4" w:space="0" w:color="000000"/>
            </w:tcBorders>
            <w:shd w:val="clear" w:color="auto" w:fill="auto"/>
            <w:vAlign w:val="center"/>
          </w:tcPr>
          <w:p w14:paraId="451AEE03" w14:textId="77777777" w:rsidR="00B921EA" w:rsidRDefault="00BE3086">
            <w:pPr>
              <w:rPr>
                <w:rFonts w:ascii="Calibri" w:eastAsia="Calibri" w:hAnsi="Calibri" w:cs="Calibri"/>
                <w:i/>
                <w:color w:val="000000"/>
                <w:sz w:val="22"/>
                <w:szCs w:val="22"/>
              </w:rPr>
            </w:pPr>
            <w:r>
              <w:rPr>
                <w:rFonts w:ascii="Calibri" w:eastAsia="Calibri" w:hAnsi="Calibri" w:cs="Calibri"/>
                <w:i/>
                <w:color w:val="000000"/>
                <w:sz w:val="22"/>
                <w:szCs w:val="22"/>
              </w:rPr>
              <w:t>Vaccinium macrocarpon</w:t>
            </w:r>
          </w:p>
        </w:tc>
        <w:tc>
          <w:tcPr>
            <w:tcW w:w="1174" w:type="dxa"/>
            <w:tcBorders>
              <w:top w:val="nil"/>
              <w:left w:val="nil"/>
              <w:bottom w:val="single" w:sz="4" w:space="0" w:color="000000"/>
              <w:right w:val="single" w:sz="4" w:space="0" w:color="000000"/>
            </w:tcBorders>
            <w:shd w:val="clear" w:color="auto" w:fill="auto"/>
            <w:vAlign w:val="center"/>
          </w:tcPr>
          <w:p w14:paraId="451AEE04"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113</w:t>
            </w:r>
          </w:p>
        </w:tc>
      </w:tr>
      <w:tr w:rsidR="00B921EA" w14:paraId="451AEE08" w14:textId="77777777">
        <w:trPr>
          <w:trHeight w:val="300"/>
        </w:trPr>
        <w:tc>
          <w:tcPr>
            <w:tcW w:w="3120" w:type="dxa"/>
            <w:tcBorders>
              <w:top w:val="nil"/>
              <w:left w:val="single" w:sz="4" w:space="0" w:color="000000"/>
              <w:bottom w:val="single" w:sz="4" w:space="0" w:color="000000"/>
              <w:right w:val="single" w:sz="4" w:space="0" w:color="000000"/>
            </w:tcBorders>
            <w:shd w:val="clear" w:color="auto" w:fill="auto"/>
            <w:vAlign w:val="center"/>
          </w:tcPr>
          <w:p w14:paraId="451AEE06" w14:textId="77777777" w:rsidR="00B921EA" w:rsidRDefault="00BE3086">
            <w:pPr>
              <w:rPr>
                <w:rFonts w:ascii="Calibri" w:eastAsia="Calibri" w:hAnsi="Calibri" w:cs="Calibri"/>
                <w:i/>
                <w:color w:val="000000"/>
                <w:sz w:val="22"/>
                <w:szCs w:val="22"/>
              </w:rPr>
            </w:pPr>
            <w:r>
              <w:rPr>
                <w:rFonts w:ascii="Calibri" w:eastAsia="Calibri" w:hAnsi="Calibri" w:cs="Calibri"/>
                <w:i/>
                <w:color w:val="000000"/>
                <w:sz w:val="22"/>
                <w:szCs w:val="22"/>
              </w:rPr>
              <w:t xml:space="preserve">Vaccinium </w:t>
            </w:r>
            <w:proofErr w:type="spellStart"/>
            <w:r>
              <w:rPr>
                <w:rFonts w:ascii="Calibri" w:eastAsia="Calibri" w:hAnsi="Calibri" w:cs="Calibri"/>
                <w:i/>
                <w:color w:val="000000"/>
                <w:sz w:val="22"/>
                <w:szCs w:val="22"/>
              </w:rPr>
              <w:t>oxycoccos</w:t>
            </w:r>
            <w:proofErr w:type="spellEnd"/>
          </w:p>
        </w:tc>
        <w:tc>
          <w:tcPr>
            <w:tcW w:w="1174" w:type="dxa"/>
            <w:tcBorders>
              <w:top w:val="nil"/>
              <w:left w:val="nil"/>
              <w:bottom w:val="single" w:sz="4" w:space="0" w:color="000000"/>
              <w:right w:val="single" w:sz="4" w:space="0" w:color="000000"/>
            </w:tcBorders>
            <w:shd w:val="clear" w:color="auto" w:fill="auto"/>
            <w:vAlign w:val="center"/>
          </w:tcPr>
          <w:p w14:paraId="451AEE07"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74</w:t>
            </w:r>
          </w:p>
        </w:tc>
      </w:tr>
      <w:tr w:rsidR="00B921EA" w14:paraId="451AEE0B" w14:textId="77777777">
        <w:trPr>
          <w:trHeight w:val="300"/>
        </w:trPr>
        <w:tc>
          <w:tcPr>
            <w:tcW w:w="3120" w:type="dxa"/>
            <w:tcBorders>
              <w:top w:val="nil"/>
              <w:left w:val="single" w:sz="4" w:space="0" w:color="000000"/>
              <w:bottom w:val="single" w:sz="4" w:space="0" w:color="000000"/>
              <w:right w:val="single" w:sz="4" w:space="0" w:color="000000"/>
            </w:tcBorders>
            <w:shd w:val="clear" w:color="auto" w:fill="auto"/>
            <w:vAlign w:val="center"/>
          </w:tcPr>
          <w:p w14:paraId="451AEE09" w14:textId="77777777" w:rsidR="00B921EA" w:rsidRDefault="00BE3086">
            <w:pPr>
              <w:rPr>
                <w:rFonts w:ascii="Calibri" w:eastAsia="Calibri" w:hAnsi="Calibri" w:cs="Calibri"/>
                <w:i/>
                <w:color w:val="000000"/>
                <w:sz w:val="22"/>
                <w:szCs w:val="22"/>
              </w:rPr>
            </w:pPr>
            <w:r>
              <w:rPr>
                <w:rFonts w:ascii="Calibri" w:eastAsia="Calibri" w:hAnsi="Calibri" w:cs="Calibri"/>
                <w:i/>
                <w:color w:val="000000"/>
                <w:sz w:val="22"/>
                <w:szCs w:val="22"/>
              </w:rPr>
              <w:t>Vaccinium vitis-idaea</w:t>
            </w:r>
          </w:p>
        </w:tc>
        <w:tc>
          <w:tcPr>
            <w:tcW w:w="1174" w:type="dxa"/>
            <w:tcBorders>
              <w:top w:val="nil"/>
              <w:left w:val="nil"/>
              <w:bottom w:val="single" w:sz="4" w:space="0" w:color="000000"/>
              <w:right w:val="single" w:sz="4" w:space="0" w:color="000000"/>
            </w:tcBorders>
            <w:shd w:val="clear" w:color="auto" w:fill="auto"/>
            <w:vAlign w:val="center"/>
          </w:tcPr>
          <w:p w14:paraId="451AEE0A"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109</w:t>
            </w:r>
          </w:p>
        </w:tc>
      </w:tr>
    </w:tbl>
    <w:p w14:paraId="451AEE0C" w14:textId="77777777" w:rsidR="00B921EA" w:rsidRDefault="00BE3086">
      <w:pPr>
        <w:rPr>
          <w:b/>
        </w:rPr>
      </w:pPr>
      <w:r>
        <w:br w:type="page"/>
      </w:r>
    </w:p>
    <w:p w14:paraId="451AEE0D" w14:textId="77777777" w:rsidR="00B921EA" w:rsidRDefault="00BE3086">
      <w:pPr>
        <w:rPr>
          <w:b/>
        </w:rPr>
      </w:pPr>
      <w:r>
        <w:rPr>
          <w:b/>
        </w:rPr>
        <w:lastRenderedPageBreak/>
        <w:t>Appendix Table 3. Viruses that infect Cranberries</w:t>
      </w:r>
      <w:r>
        <w:rPr>
          <w:rFonts w:ascii="Arial" w:eastAsia="Arial" w:hAnsi="Arial" w:cs="Arial"/>
          <w:sz w:val="20"/>
          <w:szCs w:val="20"/>
          <w:u w:val="single"/>
        </w:rPr>
        <w:t xml:space="preserve"> </w:t>
      </w:r>
    </w:p>
    <w:tbl>
      <w:tblPr>
        <w:tblStyle w:val="a1"/>
        <w:tblW w:w="7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1114"/>
        <w:gridCol w:w="1336"/>
        <w:gridCol w:w="2970"/>
      </w:tblGrid>
      <w:tr w:rsidR="00B921EA" w14:paraId="451AEE12" w14:textId="77777777">
        <w:trPr>
          <w:trHeight w:val="315"/>
        </w:trPr>
        <w:tc>
          <w:tcPr>
            <w:tcW w:w="2340" w:type="dxa"/>
            <w:shd w:val="clear" w:color="auto" w:fill="auto"/>
            <w:vAlign w:val="center"/>
          </w:tcPr>
          <w:p w14:paraId="451AEE0E" w14:textId="77777777" w:rsidR="00B921EA" w:rsidRDefault="00BE3086">
            <w:pPr>
              <w:rPr>
                <w:rFonts w:ascii="Calibri" w:eastAsia="Calibri" w:hAnsi="Calibri" w:cs="Calibri"/>
                <w:b/>
                <w:color w:val="000000"/>
              </w:rPr>
            </w:pPr>
            <w:r>
              <w:rPr>
                <w:rFonts w:ascii="Calibri" w:eastAsia="Calibri" w:hAnsi="Calibri" w:cs="Calibri"/>
                <w:b/>
                <w:color w:val="000000"/>
              </w:rPr>
              <w:t>Virus name</w:t>
            </w:r>
          </w:p>
        </w:tc>
        <w:tc>
          <w:tcPr>
            <w:tcW w:w="1114" w:type="dxa"/>
            <w:shd w:val="clear" w:color="auto" w:fill="auto"/>
            <w:vAlign w:val="center"/>
          </w:tcPr>
          <w:p w14:paraId="451AEE0F" w14:textId="77777777" w:rsidR="00B921EA" w:rsidRDefault="00BE3086">
            <w:pPr>
              <w:rPr>
                <w:rFonts w:ascii="Calibri" w:eastAsia="Calibri" w:hAnsi="Calibri" w:cs="Calibri"/>
                <w:b/>
                <w:color w:val="000000"/>
              </w:rPr>
            </w:pPr>
            <w:r>
              <w:rPr>
                <w:rFonts w:ascii="Calibri" w:eastAsia="Calibri" w:hAnsi="Calibri" w:cs="Calibri"/>
                <w:b/>
                <w:color w:val="000000"/>
              </w:rPr>
              <w:t>Acronym</w:t>
            </w:r>
          </w:p>
        </w:tc>
        <w:tc>
          <w:tcPr>
            <w:tcW w:w="1336" w:type="dxa"/>
            <w:shd w:val="clear" w:color="auto" w:fill="auto"/>
            <w:vAlign w:val="center"/>
          </w:tcPr>
          <w:p w14:paraId="451AEE10" w14:textId="77777777" w:rsidR="00B921EA" w:rsidRDefault="00BE3086">
            <w:pPr>
              <w:rPr>
                <w:rFonts w:ascii="Calibri" w:eastAsia="Calibri" w:hAnsi="Calibri" w:cs="Calibri"/>
                <w:b/>
                <w:color w:val="000000"/>
              </w:rPr>
            </w:pPr>
            <w:r>
              <w:rPr>
                <w:rFonts w:ascii="Calibri" w:eastAsia="Calibri" w:hAnsi="Calibri" w:cs="Calibri"/>
                <w:b/>
                <w:color w:val="000000"/>
              </w:rPr>
              <w:t>Genus</w:t>
            </w:r>
          </w:p>
        </w:tc>
        <w:tc>
          <w:tcPr>
            <w:tcW w:w="2970" w:type="dxa"/>
            <w:shd w:val="clear" w:color="auto" w:fill="auto"/>
            <w:vAlign w:val="center"/>
          </w:tcPr>
          <w:p w14:paraId="451AEE11" w14:textId="77777777" w:rsidR="00B921EA" w:rsidRDefault="00BE3086">
            <w:pPr>
              <w:rPr>
                <w:rFonts w:ascii="Calibri" w:eastAsia="Calibri" w:hAnsi="Calibri" w:cs="Calibri"/>
                <w:b/>
                <w:color w:val="000000"/>
              </w:rPr>
            </w:pPr>
            <w:r>
              <w:rPr>
                <w:rFonts w:ascii="Calibri" w:eastAsia="Calibri" w:hAnsi="Calibri" w:cs="Calibri"/>
                <w:b/>
                <w:color w:val="000000"/>
              </w:rPr>
              <w:t>Transmission</w:t>
            </w:r>
          </w:p>
        </w:tc>
      </w:tr>
      <w:tr w:rsidR="00B921EA" w14:paraId="451AEE17" w14:textId="77777777">
        <w:trPr>
          <w:trHeight w:val="315"/>
        </w:trPr>
        <w:tc>
          <w:tcPr>
            <w:tcW w:w="2340" w:type="dxa"/>
            <w:shd w:val="clear" w:color="auto" w:fill="auto"/>
            <w:vAlign w:val="bottom"/>
          </w:tcPr>
          <w:p w14:paraId="451AEE13" w14:textId="77777777" w:rsidR="00B921EA" w:rsidRDefault="00BE3086">
            <w:pPr>
              <w:rPr>
                <w:rFonts w:ascii="Calibri" w:eastAsia="Calibri" w:hAnsi="Calibri" w:cs="Calibri"/>
                <w:color w:val="000000"/>
              </w:rPr>
            </w:pPr>
            <w:r>
              <w:rPr>
                <w:rFonts w:ascii="Calibri" w:eastAsia="Calibri" w:hAnsi="Calibri" w:cs="Calibri"/>
                <w:color w:val="000000"/>
              </w:rPr>
              <w:t>Blueberry red ringspot virus</w:t>
            </w:r>
          </w:p>
        </w:tc>
        <w:tc>
          <w:tcPr>
            <w:tcW w:w="1114" w:type="dxa"/>
            <w:shd w:val="clear" w:color="auto" w:fill="auto"/>
            <w:vAlign w:val="bottom"/>
          </w:tcPr>
          <w:p w14:paraId="451AEE14" w14:textId="77777777" w:rsidR="00B921EA" w:rsidRDefault="00BE3086">
            <w:pPr>
              <w:rPr>
                <w:rFonts w:ascii="Calibri" w:eastAsia="Calibri" w:hAnsi="Calibri" w:cs="Calibri"/>
                <w:color w:val="000000"/>
              </w:rPr>
            </w:pPr>
            <w:r>
              <w:rPr>
                <w:rFonts w:ascii="Calibri" w:eastAsia="Calibri" w:hAnsi="Calibri" w:cs="Calibri"/>
                <w:color w:val="000000"/>
              </w:rPr>
              <w:t>BRRV</w:t>
            </w:r>
          </w:p>
        </w:tc>
        <w:tc>
          <w:tcPr>
            <w:tcW w:w="1336" w:type="dxa"/>
            <w:shd w:val="clear" w:color="auto" w:fill="auto"/>
            <w:vAlign w:val="bottom"/>
          </w:tcPr>
          <w:p w14:paraId="451AEE15" w14:textId="77777777" w:rsidR="00B921EA" w:rsidRDefault="00BE3086">
            <w:pPr>
              <w:rPr>
                <w:rFonts w:ascii="Calibri" w:eastAsia="Calibri" w:hAnsi="Calibri" w:cs="Calibri"/>
                <w:i/>
                <w:color w:val="000000"/>
              </w:rPr>
            </w:pPr>
            <w:proofErr w:type="spellStart"/>
            <w:r>
              <w:rPr>
                <w:rFonts w:ascii="Calibri" w:eastAsia="Calibri" w:hAnsi="Calibri" w:cs="Calibri"/>
                <w:i/>
                <w:color w:val="000000"/>
              </w:rPr>
              <w:t>Soymovirus</w:t>
            </w:r>
            <w:proofErr w:type="spellEnd"/>
          </w:p>
        </w:tc>
        <w:tc>
          <w:tcPr>
            <w:tcW w:w="2970" w:type="dxa"/>
            <w:shd w:val="clear" w:color="auto" w:fill="auto"/>
            <w:vAlign w:val="bottom"/>
          </w:tcPr>
          <w:p w14:paraId="451AEE16" w14:textId="77777777" w:rsidR="00B921EA" w:rsidRDefault="00BE3086">
            <w:pPr>
              <w:rPr>
                <w:rFonts w:ascii="Calibri" w:eastAsia="Calibri" w:hAnsi="Calibri" w:cs="Calibri"/>
                <w:color w:val="000000"/>
              </w:rPr>
            </w:pPr>
            <w:r>
              <w:rPr>
                <w:rFonts w:ascii="Calibri" w:eastAsia="Calibri" w:hAnsi="Calibri" w:cs="Calibri"/>
                <w:color w:val="000000"/>
              </w:rPr>
              <w:t>?</w:t>
            </w:r>
          </w:p>
        </w:tc>
      </w:tr>
      <w:tr w:rsidR="00B921EA" w14:paraId="451AEE1C" w14:textId="77777777">
        <w:trPr>
          <w:trHeight w:val="315"/>
        </w:trPr>
        <w:tc>
          <w:tcPr>
            <w:tcW w:w="2340" w:type="dxa"/>
            <w:shd w:val="clear" w:color="auto" w:fill="auto"/>
            <w:vAlign w:val="bottom"/>
          </w:tcPr>
          <w:p w14:paraId="451AEE18" w14:textId="77777777" w:rsidR="00B921EA" w:rsidRDefault="00BE3086">
            <w:pPr>
              <w:rPr>
                <w:rFonts w:ascii="Calibri" w:eastAsia="Calibri" w:hAnsi="Calibri" w:cs="Calibri"/>
                <w:color w:val="000000"/>
              </w:rPr>
            </w:pPr>
            <w:r>
              <w:rPr>
                <w:rFonts w:ascii="Calibri" w:eastAsia="Calibri" w:hAnsi="Calibri" w:cs="Calibri"/>
                <w:color w:val="000000"/>
              </w:rPr>
              <w:t>Blueberry scorch virus</w:t>
            </w:r>
          </w:p>
        </w:tc>
        <w:tc>
          <w:tcPr>
            <w:tcW w:w="1114" w:type="dxa"/>
            <w:shd w:val="clear" w:color="auto" w:fill="auto"/>
            <w:vAlign w:val="bottom"/>
          </w:tcPr>
          <w:p w14:paraId="451AEE19" w14:textId="77777777" w:rsidR="00B921EA" w:rsidRDefault="00BE3086">
            <w:pPr>
              <w:rPr>
                <w:rFonts w:ascii="Calibri" w:eastAsia="Calibri" w:hAnsi="Calibri" w:cs="Calibri"/>
                <w:color w:val="000000"/>
              </w:rPr>
            </w:pPr>
            <w:proofErr w:type="spellStart"/>
            <w:r>
              <w:rPr>
                <w:rFonts w:ascii="Calibri" w:eastAsia="Calibri" w:hAnsi="Calibri" w:cs="Calibri"/>
                <w:color w:val="000000"/>
              </w:rPr>
              <w:t>BlScV</w:t>
            </w:r>
            <w:proofErr w:type="spellEnd"/>
          </w:p>
        </w:tc>
        <w:tc>
          <w:tcPr>
            <w:tcW w:w="1336" w:type="dxa"/>
            <w:shd w:val="clear" w:color="auto" w:fill="auto"/>
            <w:vAlign w:val="bottom"/>
          </w:tcPr>
          <w:p w14:paraId="451AEE1A" w14:textId="77777777" w:rsidR="00B921EA" w:rsidRDefault="00BE3086">
            <w:pPr>
              <w:rPr>
                <w:rFonts w:ascii="Calibri" w:eastAsia="Calibri" w:hAnsi="Calibri" w:cs="Calibri"/>
                <w:i/>
                <w:color w:val="000000"/>
              </w:rPr>
            </w:pPr>
            <w:proofErr w:type="spellStart"/>
            <w:r>
              <w:rPr>
                <w:rFonts w:ascii="Calibri" w:eastAsia="Calibri" w:hAnsi="Calibri" w:cs="Calibri"/>
                <w:i/>
                <w:color w:val="000000"/>
              </w:rPr>
              <w:t>Carlavirus</w:t>
            </w:r>
            <w:proofErr w:type="spellEnd"/>
          </w:p>
        </w:tc>
        <w:tc>
          <w:tcPr>
            <w:tcW w:w="2970" w:type="dxa"/>
            <w:shd w:val="clear" w:color="auto" w:fill="auto"/>
            <w:vAlign w:val="bottom"/>
          </w:tcPr>
          <w:p w14:paraId="451AEE1B" w14:textId="77777777" w:rsidR="00B921EA" w:rsidRDefault="00BE3086">
            <w:pPr>
              <w:rPr>
                <w:rFonts w:ascii="Calibri" w:eastAsia="Calibri" w:hAnsi="Calibri" w:cs="Calibri"/>
                <w:color w:val="000000"/>
              </w:rPr>
            </w:pPr>
            <w:r>
              <w:rPr>
                <w:rFonts w:ascii="Calibri" w:eastAsia="Calibri" w:hAnsi="Calibri" w:cs="Calibri"/>
                <w:color w:val="000000"/>
              </w:rPr>
              <w:t>aphids/non-persistent</w:t>
            </w:r>
          </w:p>
        </w:tc>
      </w:tr>
      <w:tr w:rsidR="00B921EA" w14:paraId="451AEE21" w14:textId="77777777">
        <w:trPr>
          <w:trHeight w:val="315"/>
        </w:trPr>
        <w:tc>
          <w:tcPr>
            <w:tcW w:w="2340" w:type="dxa"/>
            <w:shd w:val="clear" w:color="auto" w:fill="auto"/>
            <w:vAlign w:val="bottom"/>
          </w:tcPr>
          <w:p w14:paraId="451AEE1D" w14:textId="77777777" w:rsidR="00B921EA" w:rsidRDefault="00BE3086">
            <w:pPr>
              <w:rPr>
                <w:rFonts w:ascii="Calibri" w:eastAsia="Calibri" w:hAnsi="Calibri" w:cs="Calibri"/>
                <w:color w:val="000000"/>
              </w:rPr>
            </w:pPr>
            <w:r>
              <w:rPr>
                <w:rFonts w:ascii="Calibri" w:eastAsia="Calibri" w:hAnsi="Calibri" w:cs="Calibri"/>
                <w:color w:val="000000"/>
              </w:rPr>
              <w:t>Blueberry shock virus</w:t>
            </w:r>
          </w:p>
        </w:tc>
        <w:tc>
          <w:tcPr>
            <w:tcW w:w="1114" w:type="dxa"/>
            <w:shd w:val="clear" w:color="auto" w:fill="auto"/>
            <w:vAlign w:val="bottom"/>
          </w:tcPr>
          <w:p w14:paraId="451AEE1E" w14:textId="77777777" w:rsidR="00B921EA" w:rsidRDefault="00BE3086">
            <w:pPr>
              <w:rPr>
                <w:rFonts w:ascii="Calibri" w:eastAsia="Calibri" w:hAnsi="Calibri" w:cs="Calibri"/>
                <w:color w:val="000000"/>
              </w:rPr>
            </w:pPr>
            <w:proofErr w:type="spellStart"/>
            <w:r>
              <w:rPr>
                <w:rFonts w:ascii="Calibri" w:eastAsia="Calibri" w:hAnsi="Calibri" w:cs="Calibri"/>
                <w:color w:val="000000"/>
              </w:rPr>
              <w:t>BlShV</w:t>
            </w:r>
            <w:proofErr w:type="spellEnd"/>
          </w:p>
        </w:tc>
        <w:tc>
          <w:tcPr>
            <w:tcW w:w="1336" w:type="dxa"/>
            <w:shd w:val="clear" w:color="auto" w:fill="auto"/>
            <w:vAlign w:val="bottom"/>
          </w:tcPr>
          <w:p w14:paraId="451AEE1F" w14:textId="77777777" w:rsidR="00B921EA" w:rsidRDefault="00BE3086">
            <w:pPr>
              <w:rPr>
                <w:rFonts w:ascii="Calibri" w:eastAsia="Calibri" w:hAnsi="Calibri" w:cs="Calibri"/>
                <w:i/>
                <w:color w:val="000000"/>
              </w:rPr>
            </w:pPr>
            <w:proofErr w:type="spellStart"/>
            <w:r>
              <w:rPr>
                <w:rFonts w:ascii="Calibri" w:eastAsia="Calibri" w:hAnsi="Calibri" w:cs="Calibri"/>
                <w:i/>
                <w:color w:val="000000"/>
              </w:rPr>
              <w:t>Ilarvirus</w:t>
            </w:r>
            <w:proofErr w:type="spellEnd"/>
          </w:p>
        </w:tc>
        <w:tc>
          <w:tcPr>
            <w:tcW w:w="2970" w:type="dxa"/>
            <w:shd w:val="clear" w:color="auto" w:fill="auto"/>
            <w:vAlign w:val="bottom"/>
          </w:tcPr>
          <w:p w14:paraId="451AEE20" w14:textId="77777777" w:rsidR="00B921EA" w:rsidRDefault="00BE3086">
            <w:pPr>
              <w:rPr>
                <w:rFonts w:ascii="Calibri" w:eastAsia="Calibri" w:hAnsi="Calibri" w:cs="Calibri"/>
                <w:color w:val="000000"/>
              </w:rPr>
            </w:pPr>
            <w:r>
              <w:rPr>
                <w:rFonts w:ascii="Calibri" w:eastAsia="Calibri" w:hAnsi="Calibri" w:cs="Calibri"/>
                <w:color w:val="000000"/>
              </w:rPr>
              <w:t>pollen/seed ◊</w:t>
            </w:r>
          </w:p>
        </w:tc>
      </w:tr>
      <w:tr w:rsidR="00B921EA" w14:paraId="451AEE26" w14:textId="77777777">
        <w:trPr>
          <w:trHeight w:val="315"/>
        </w:trPr>
        <w:tc>
          <w:tcPr>
            <w:tcW w:w="2340" w:type="dxa"/>
            <w:shd w:val="clear" w:color="auto" w:fill="auto"/>
            <w:vAlign w:val="bottom"/>
          </w:tcPr>
          <w:p w14:paraId="451AEE22" w14:textId="77777777" w:rsidR="00B921EA" w:rsidRDefault="00BE3086">
            <w:pPr>
              <w:rPr>
                <w:rFonts w:ascii="Calibri" w:eastAsia="Calibri" w:hAnsi="Calibri" w:cs="Calibri"/>
                <w:color w:val="000000"/>
              </w:rPr>
            </w:pPr>
            <w:r>
              <w:rPr>
                <w:rFonts w:ascii="Calibri" w:eastAsia="Calibri" w:hAnsi="Calibri" w:cs="Calibri"/>
                <w:color w:val="000000"/>
              </w:rPr>
              <w:t>Tobacco streak virus</w:t>
            </w:r>
          </w:p>
        </w:tc>
        <w:tc>
          <w:tcPr>
            <w:tcW w:w="1114" w:type="dxa"/>
            <w:shd w:val="clear" w:color="auto" w:fill="auto"/>
            <w:vAlign w:val="bottom"/>
          </w:tcPr>
          <w:p w14:paraId="451AEE23" w14:textId="77777777" w:rsidR="00B921EA" w:rsidRDefault="00BE3086">
            <w:pPr>
              <w:rPr>
                <w:rFonts w:ascii="Calibri" w:eastAsia="Calibri" w:hAnsi="Calibri" w:cs="Calibri"/>
                <w:color w:val="000000"/>
              </w:rPr>
            </w:pPr>
            <w:r>
              <w:rPr>
                <w:rFonts w:ascii="Calibri" w:eastAsia="Calibri" w:hAnsi="Calibri" w:cs="Calibri"/>
                <w:color w:val="000000"/>
              </w:rPr>
              <w:t>TSV</w:t>
            </w:r>
          </w:p>
        </w:tc>
        <w:tc>
          <w:tcPr>
            <w:tcW w:w="1336" w:type="dxa"/>
            <w:shd w:val="clear" w:color="auto" w:fill="auto"/>
            <w:vAlign w:val="bottom"/>
          </w:tcPr>
          <w:p w14:paraId="451AEE24" w14:textId="77777777" w:rsidR="00B921EA" w:rsidRDefault="00BE3086">
            <w:pPr>
              <w:rPr>
                <w:rFonts w:ascii="Calibri" w:eastAsia="Calibri" w:hAnsi="Calibri" w:cs="Calibri"/>
                <w:i/>
                <w:color w:val="000000"/>
              </w:rPr>
            </w:pPr>
            <w:proofErr w:type="spellStart"/>
            <w:r>
              <w:rPr>
                <w:rFonts w:ascii="Calibri" w:eastAsia="Calibri" w:hAnsi="Calibri" w:cs="Calibri"/>
                <w:i/>
                <w:color w:val="000000"/>
              </w:rPr>
              <w:t>Ilarvirus</w:t>
            </w:r>
            <w:proofErr w:type="spellEnd"/>
          </w:p>
        </w:tc>
        <w:tc>
          <w:tcPr>
            <w:tcW w:w="2970" w:type="dxa"/>
            <w:shd w:val="clear" w:color="auto" w:fill="auto"/>
            <w:vAlign w:val="bottom"/>
          </w:tcPr>
          <w:p w14:paraId="451AEE25" w14:textId="77777777" w:rsidR="00B921EA" w:rsidRDefault="00BE3086">
            <w:pPr>
              <w:rPr>
                <w:rFonts w:ascii="Calibri" w:eastAsia="Calibri" w:hAnsi="Calibri" w:cs="Calibri"/>
                <w:color w:val="000000"/>
              </w:rPr>
            </w:pPr>
            <w:r>
              <w:rPr>
                <w:rFonts w:ascii="Calibri" w:eastAsia="Calibri" w:hAnsi="Calibri" w:cs="Calibri"/>
                <w:color w:val="000000"/>
              </w:rPr>
              <w:t xml:space="preserve">pollen/seed □◊ </w:t>
            </w:r>
          </w:p>
        </w:tc>
      </w:tr>
    </w:tbl>
    <w:p w14:paraId="451AEE27" w14:textId="77777777" w:rsidR="00B921EA" w:rsidRDefault="00B921EA">
      <w:pPr>
        <w:tabs>
          <w:tab w:val="left" w:pos="2340"/>
          <w:tab w:val="left" w:pos="3960"/>
          <w:tab w:val="left" w:pos="5940"/>
          <w:tab w:val="left" w:pos="6120"/>
          <w:tab w:val="left" w:pos="7920"/>
          <w:tab w:val="left" w:pos="8280"/>
        </w:tabs>
        <w:ind w:right="-1440"/>
        <w:rPr>
          <w:rFonts w:ascii="Arial" w:eastAsia="Arial" w:hAnsi="Arial" w:cs="Arial"/>
          <w:sz w:val="20"/>
          <w:szCs w:val="20"/>
        </w:rPr>
      </w:pPr>
    </w:p>
    <w:tbl>
      <w:tblPr>
        <w:tblStyle w:val="a2"/>
        <w:tblW w:w="5680" w:type="dxa"/>
        <w:tblLayout w:type="fixed"/>
        <w:tblLook w:val="0400" w:firstRow="0" w:lastRow="0" w:firstColumn="0" w:lastColumn="0" w:noHBand="0" w:noVBand="1"/>
      </w:tblPr>
      <w:tblGrid>
        <w:gridCol w:w="5680"/>
      </w:tblGrid>
      <w:tr w:rsidR="00B921EA" w14:paraId="451AEE29" w14:textId="77777777">
        <w:trPr>
          <w:trHeight w:val="315"/>
        </w:trPr>
        <w:tc>
          <w:tcPr>
            <w:tcW w:w="5680" w:type="dxa"/>
            <w:tcBorders>
              <w:top w:val="nil"/>
              <w:left w:val="nil"/>
              <w:bottom w:val="nil"/>
              <w:right w:val="nil"/>
            </w:tcBorders>
            <w:shd w:val="clear" w:color="auto" w:fill="auto"/>
            <w:vAlign w:val="bottom"/>
          </w:tcPr>
          <w:p w14:paraId="451AEE28" w14:textId="77777777" w:rsidR="00B921EA" w:rsidRDefault="00BE3086">
            <w:pP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 xml:space="preserve"> Also transmitted by pollen feeding arthropods</w:t>
            </w:r>
          </w:p>
        </w:tc>
      </w:tr>
      <w:tr w:rsidR="00B921EA" w14:paraId="451AEE2B" w14:textId="77777777">
        <w:trPr>
          <w:trHeight w:val="315"/>
        </w:trPr>
        <w:tc>
          <w:tcPr>
            <w:tcW w:w="5680" w:type="dxa"/>
            <w:tcBorders>
              <w:top w:val="nil"/>
              <w:left w:val="nil"/>
              <w:bottom w:val="nil"/>
              <w:right w:val="nil"/>
            </w:tcBorders>
            <w:shd w:val="clear" w:color="auto" w:fill="auto"/>
            <w:vAlign w:val="bottom"/>
          </w:tcPr>
          <w:p w14:paraId="451AEE2A" w14:textId="77777777" w:rsidR="00B921EA" w:rsidRDefault="00BE3086">
            <w:pPr>
              <w:rPr>
                <w:rFonts w:ascii="Calibri" w:eastAsia="Calibri" w:hAnsi="Calibri" w:cs="Calibri"/>
                <w:color w:val="000000"/>
              </w:rPr>
            </w:pPr>
            <w:r>
              <w:rPr>
                <w:rFonts w:ascii="Calibri" w:eastAsia="Calibri" w:hAnsi="Calibri" w:cs="Calibri"/>
                <w:color w:val="000000"/>
              </w:rPr>
              <w:t xml:space="preserve"> □ Pollen and seed transmitted</w:t>
            </w:r>
          </w:p>
        </w:tc>
      </w:tr>
    </w:tbl>
    <w:p w14:paraId="451AEE2C" w14:textId="77777777" w:rsidR="00B921EA" w:rsidRDefault="00B921EA">
      <w:pPr>
        <w:tabs>
          <w:tab w:val="left" w:pos="2340"/>
          <w:tab w:val="left" w:pos="3960"/>
          <w:tab w:val="left" w:pos="5940"/>
          <w:tab w:val="left" w:pos="6120"/>
          <w:tab w:val="left" w:pos="7920"/>
          <w:tab w:val="left" w:pos="8280"/>
        </w:tabs>
        <w:ind w:right="-1440"/>
        <w:rPr>
          <w:rFonts w:ascii="Arial" w:eastAsia="Arial" w:hAnsi="Arial" w:cs="Arial"/>
          <w:sz w:val="20"/>
          <w:szCs w:val="20"/>
        </w:rPr>
      </w:pPr>
    </w:p>
    <w:p w14:paraId="451AEE2D" w14:textId="77777777" w:rsidR="00B921EA" w:rsidRDefault="00BE3086">
      <w:pPr>
        <w:tabs>
          <w:tab w:val="left" w:pos="2340"/>
          <w:tab w:val="left" w:pos="3960"/>
          <w:tab w:val="left" w:pos="5940"/>
          <w:tab w:val="left" w:pos="6120"/>
          <w:tab w:val="left" w:pos="7920"/>
          <w:tab w:val="left" w:pos="8280"/>
        </w:tabs>
        <w:ind w:right="-1440"/>
        <w:rPr>
          <w:rFonts w:ascii="Arial" w:eastAsia="Arial" w:hAnsi="Arial" w:cs="Arial"/>
          <w:sz w:val="20"/>
          <w:szCs w:val="20"/>
        </w:rPr>
      </w:pPr>
      <w:r>
        <w:rPr>
          <w:b/>
        </w:rPr>
        <w:t>Appendix Table 4. Regional occurrence of viruses in cranberry</w:t>
      </w:r>
    </w:p>
    <w:tbl>
      <w:tblPr>
        <w:tblStyle w:val="a3"/>
        <w:tblW w:w="9360" w:type="dxa"/>
        <w:tblLayout w:type="fixed"/>
        <w:tblLook w:val="0400" w:firstRow="0" w:lastRow="0" w:firstColumn="0" w:lastColumn="0" w:noHBand="0" w:noVBand="1"/>
      </w:tblPr>
      <w:tblGrid>
        <w:gridCol w:w="2808"/>
        <w:gridCol w:w="1152"/>
        <w:gridCol w:w="1080"/>
        <w:gridCol w:w="1080"/>
        <w:gridCol w:w="1177"/>
        <w:gridCol w:w="714"/>
        <w:gridCol w:w="1349"/>
      </w:tblGrid>
      <w:tr w:rsidR="00B921EA" w14:paraId="451AEE34" w14:textId="77777777">
        <w:trPr>
          <w:trHeight w:val="315"/>
        </w:trPr>
        <w:tc>
          <w:tcPr>
            <w:tcW w:w="2808" w:type="dxa"/>
            <w:tcBorders>
              <w:top w:val="nil"/>
              <w:left w:val="nil"/>
              <w:bottom w:val="nil"/>
              <w:right w:val="nil"/>
            </w:tcBorders>
            <w:shd w:val="clear" w:color="auto" w:fill="auto"/>
            <w:vAlign w:val="bottom"/>
          </w:tcPr>
          <w:p w14:paraId="451AEE2E" w14:textId="77777777" w:rsidR="00B921EA" w:rsidRDefault="00BE3086">
            <w:pPr>
              <w:rPr>
                <w:rFonts w:ascii="Calibri" w:eastAsia="Calibri" w:hAnsi="Calibri" w:cs="Calibri"/>
                <w:b/>
                <w:color w:val="000000"/>
              </w:rPr>
            </w:pPr>
            <w:r>
              <w:rPr>
                <w:rFonts w:ascii="Calibri" w:eastAsia="Calibri" w:hAnsi="Calibri" w:cs="Calibri"/>
                <w:b/>
                <w:color w:val="000000"/>
              </w:rPr>
              <w:t>Virus name</w:t>
            </w:r>
          </w:p>
        </w:tc>
        <w:tc>
          <w:tcPr>
            <w:tcW w:w="1152" w:type="dxa"/>
            <w:tcBorders>
              <w:top w:val="nil"/>
              <w:left w:val="nil"/>
              <w:bottom w:val="nil"/>
              <w:right w:val="nil"/>
            </w:tcBorders>
            <w:shd w:val="clear" w:color="auto" w:fill="auto"/>
            <w:vAlign w:val="bottom"/>
          </w:tcPr>
          <w:p w14:paraId="451AEE2F" w14:textId="77777777" w:rsidR="00B921EA" w:rsidRDefault="00B921EA">
            <w:pPr>
              <w:rPr>
                <w:rFonts w:ascii="Calibri" w:eastAsia="Calibri" w:hAnsi="Calibri" w:cs="Calibri"/>
                <w:b/>
                <w:color w:val="000000"/>
              </w:rPr>
            </w:pPr>
          </w:p>
        </w:tc>
        <w:tc>
          <w:tcPr>
            <w:tcW w:w="1080" w:type="dxa"/>
            <w:tcBorders>
              <w:top w:val="nil"/>
              <w:left w:val="nil"/>
              <w:bottom w:val="nil"/>
              <w:right w:val="nil"/>
            </w:tcBorders>
            <w:shd w:val="clear" w:color="auto" w:fill="auto"/>
            <w:vAlign w:val="bottom"/>
          </w:tcPr>
          <w:p w14:paraId="451AEE30" w14:textId="77777777" w:rsidR="00B921EA" w:rsidRDefault="00B921EA">
            <w:pPr>
              <w:rPr>
                <w:sz w:val="20"/>
                <w:szCs w:val="20"/>
              </w:rPr>
            </w:pPr>
          </w:p>
        </w:tc>
        <w:tc>
          <w:tcPr>
            <w:tcW w:w="2257" w:type="dxa"/>
            <w:gridSpan w:val="2"/>
            <w:tcBorders>
              <w:top w:val="nil"/>
              <w:left w:val="nil"/>
              <w:bottom w:val="nil"/>
              <w:right w:val="nil"/>
            </w:tcBorders>
            <w:shd w:val="clear" w:color="auto" w:fill="auto"/>
            <w:vAlign w:val="bottom"/>
          </w:tcPr>
          <w:p w14:paraId="451AEE31" w14:textId="77777777" w:rsidR="00B921EA" w:rsidRDefault="00BE3086">
            <w:pPr>
              <w:rPr>
                <w:rFonts w:ascii="Calibri" w:eastAsia="Calibri" w:hAnsi="Calibri" w:cs="Calibri"/>
                <w:b/>
                <w:color w:val="000000"/>
              </w:rPr>
            </w:pPr>
            <w:r>
              <w:rPr>
                <w:rFonts w:ascii="Calibri" w:eastAsia="Calibri" w:hAnsi="Calibri" w:cs="Calibri"/>
                <w:b/>
                <w:color w:val="000000"/>
              </w:rPr>
              <w:t>Regional occurrence</w:t>
            </w:r>
          </w:p>
        </w:tc>
        <w:tc>
          <w:tcPr>
            <w:tcW w:w="714" w:type="dxa"/>
            <w:tcBorders>
              <w:top w:val="nil"/>
              <w:left w:val="nil"/>
              <w:bottom w:val="nil"/>
              <w:right w:val="nil"/>
            </w:tcBorders>
            <w:shd w:val="clear" w:color="auto" w:fill="auto"/>
            <w:vAlign w:val="bottom"/>
          </w:tcPr>
          <w:p w14:paraId="451AEE32" w14:textId="77777777" w:rsidR="00B921EA" w:rsidRDefault="00B921EA">
            <w:pPr>
              <w:rPr>
                <w:rFonts w:ascii="Calibri" w:eastAsia="Calibri" w:hAnsi="Calibri" w:cs="Calibri"/>
                <w:b/>
                <w:color w:val="000000"/>
              </w:rPr>
            </w:pPr>
          </w:p>
        </w:tc>
        <w:tc>
          <w:tcPr>
            <w:tcW w:w="1349" w:type="dxa"/>
            <w:tcBorders>
              <w:top w:val="nil"/>
              <w:left w:val="nil"/>
              <w:bottom w:val="nil"/>
              <w:right w:val="nil"/>
            </w:tcBorders>
            <w:shd w:val="clear" w:color="auto" w:fill="auto"/>
            <w:vAlign w:val="bottom"/>
          </w:tcPr>
          <w:p w14:paraId="451AEE33" w14:textId="77777777" w:rsidR="00B921EA" w:rsidRDefault="00B921EA">
            <w:pPr>
              <w:rPr>
                <w:sz w:val="20"/>
                <w:szCs w:val="20"/>
              </w:rPr>
            </w:pPr>
          </w:p>
        </w:tc>
      </w:tr>
      <w:tr w:rsidR="00B921EA" w14:paraId="451AEE3C" w14:textId="77777777">
        <w:trPr>
          <w:trHeight w:val="720"/>
        </w:trPr>
        <w:tc>
          <w:tcPr>
            <w:tcW w:w="2808" w:type="dxa"/>
            <w:tcBorders>
              <w:top w:val="single" w:sz="4" w:space="0" w:color="000000"/>
              <w:left w:val="single" w:sz="4" w:space="0" w:color="000000"/>
              <w:bottom w:val="single" w:sz="4" w:space="0" w:color="000000"/>
              <w:right w:val="single" w:sz="4" w:space="0" w:color="000000"/>
            </w:tcBorders>
            <w:shd w:val="clear" w:color="auto" w:fill="auto"/>
          </w:tcPr>
          <w:p w14:paraId="451AEE35"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 </w:t>
            </w:r>
          </w:p>
        </w:tc>
        <w:tc>
          <w:tcPr>
            <w:tcW w:w="1152" w:type="dxa"/>
            <w:tcBorders>
              <w:top w:val="single" w:sz="4" w:space="0" w:color="000000"/>
              <w:left w:val="nil"/>
              <w:bottom w:val="single" w:sz="4" w:space="0" w:color="000000"/>
              <w:right w:val="single" w:sz="4" w:space="0" w:color="000000"/>
            </w:tcBorders>
            <w:shd w:val="clear" w:color="auto" w:fill="auto"/>
          </w:tcPr>
          <w:p w14:paraId="451AEE36" w14:textId="77777777" w:rsidR="00B921EA" w:rsidRDefault="00BE3086">
            <w:pPr>
              <w:rPr>
                <w:rFonts w:ascii="Calibri" w:eastAsia="Calibri" w:hAnsi="Calibri" w:cs="Calibri"/>
                <w:color w:val="000000"/>
              </w:rPr>
            </w:pPr>
            <w:r>
              <w:rPr>
                <w:rFonts w:ascii="Calibri" w:eastAsia="Calibri" w:hAnsi="Calibri" w:cs="Calibri"/>
                <w:color w:val="000000"/>
              </w:rPr>
              <w:t>North America</w:t>
            </w:r>
          </w:p>
        </w:tc>
        <w:tc>
          <w:tcPr>
            <w:tcW w:w="1080" w:type="dxa"/>
            <w:tcBorders>
              <w:top w:val="single" w:sz="4" w:space="0" w:color="000000"/>
              <w:left w:val="nil"/>
              <w:bottom w:val="single" w:sz="4" w:space="0" w:color="000000"/>
              <w:right w:val="single" w:sz="4" w:space="0" w:color="000000"/>
            </w:tcBorders>
            <w:shd w:val="clear" w:color="auto" w:fill="auto"/>
          </w:tcPr>
          <w:p w14:paraId="451AEE37" w14:textId="77777777" w:rsidR="00B921EA" w:rsidRDefault="00BE3086">
            <w:pPr>
              <w:rPr>
                <w:rFonts w:ascii="Calibri" w:eastAsia="Calibri" w:hAnsi="Calibri" w:cs="Calibri"/>
                <w:color w:val="000000"/>
              </w:rPr>
            </w:pPr>
            <w:r>
              <w:rPr>
                <w:rFonts w:ascii="Calibri" w:eastAsia="Calibri" w:hAnsi="Calibri" w:cs="Calibri"/>
                <w:color w:val="000000"/>
              </w:rPr>
              <w:t>South America</w:t>
            </w:r>
          </w:p>
        </w:tc>
        <w:tc>
          <w:tcPr>
            <w:tcW w:w="1080" w:type="dxa"/>
            <w:tcBorders>
              <w:top w:val="single" w:sz="4" w:space="0" w:color="000000"/>
              <w:left w:val="nil"/>
              <w:bottom w:val="single" w:sz="4" w:space="0" w:color="000000"/>
              <w:right w:val="single" w:sz="4" w:space="0" w:color="000000"/>
            </w:tcBorders>
            <w:shd w:val="clear" w:color="auto" w:fill="auto"/>
          </w:tcPr>
          <w:p w14:paraId="451AEE38" w14:textId="77777777" w:rsidR="00B921EA" w:rsidRDefault="00BE3086">
            <w:pPr>
              <w:rPr>
                <w:rFonts w:ascii="Calibri" w:eastAsia="Calibri" w:hAnsi="Calibri" w:cs="Calibri"/>
                <w:color w:val="000000"/>
              </w:rPr>
            </w:pPr>
            <w:r>
              <w:rPr>
                <w:rFonts w:ascii="Calibri" w:eastAsia="Calibri" w:hAnsi="Calibri" w:cs="Calibri"/>
                <w:color w:val="000000"/>
              </w:rPr>
              <w:t>Europe</w:t>
            </w:r>
          </w:p>
        </w:tc>
        <w:tc>
          <w:tcPr>
            <w:tcW w:w="1177" w:type="dxa"/>
            <w:tcBorders>
              <w:top w:val="single" w:sz="4" w:space="0" w:color="000000"/>
              <w:left w:val="nil"/>
              <w:bottom w:val="single" w:sz="4" w:space="0" w:color="000000"/>
              <w:right w:val="single" w:sz="4" w:space="0" w:color="000000"/>
            </w:tcBorders>
            <w:shd w:val="clear" w:color="auto" w:fill="auto"/>
          </w:tcPr>
          <w:p w14:paraId="451AEE39" w14:textId="77777777" w:rsidR="00B921EA" w:rsidRDefault="00BE3086">
            <w:pPr>
              <w:rPr>
                <w:rFonts w:ascii="Calibri" w:eastAsia="Calibri" w:hAnsi="Calibri" w:cs="Calibri"/>
                <w:color w:val="000000"/>
              </w:rPr>
            </w:pPr>
            <w:r>
              <w:rPr>
                <w:rFonts w:ascii="Calibri" w:eastAsia="Calibri" w:hAnsi="Calibri" w:cs="Calibri"/>
                <w:color w:val="000000"/>
              </w:rPr>
              <w:t>Africa</w:t>
            </w:r>
          </w:p>
        </w:tc>
        <w:tc>
          <w:tcPr>
            <w:tcW w:w="714" w:type="dxa"/>
            <w:tcBorders>
              <w:top w:val="single" w:sz="4" w:space="0" w:color="000000"/>
              <w:left w:val="nil"/>
              <w:bottom w:val="single" w:sz="4" w:space="0" w:color="000000"/>
              <w:right w:val="single" w:sz="4" w:space="0" w:color="000000"/>
            </w:tcBorders>
            <w:shd w:val="clear" w:color="auto" w:fill="auto"/>
          </w:tcPr>
          <w:p w14:paraId="451AEE3A" w14:textId="77777777" w:rsidR="00B921EA" w:rsidRDefault="00BE3086">
            <w:pPr>
              <w:rPr>
                <w:rFonts w:ascii="Calibri" w:eastAsia="Calibri" w:hAnsi="Calibri" w:cs="Calibri"/>
                <w:color w:val="000000"/>
              </w:rPr>
            </w:pPr>
            <w:r>
              <w:rPr>
                <w:rFonts w:ascii="Calibri" w:eastAsia="Calibri" w:hAnsi="Calibri" w:cs="Calibri"/>
                <w:color w:val="000000"/>
              </w:rPr>
              <w:t>Asia</w:t>
            </w:r>
          </w:p>
        </w:tc>
        <w:tc>
          <w:tcPr>
            <w:tcW w:w="1349" w:type="dxa"/>
            <w:tcBorders>
              <w:top w:val="single" w:sz="4" w:space="0" w:color="000000"/>
              <w:left w:val="nil"/>
              <w:bottom w:val="single" w:sz="4" w:space="0" w:color="000000"/>
              <w:right w:val="single" w:sz="4" w:space="0" w:color="000000"/>
            </w:tcBorders>
            <w:shd w:val="clear" w:color="auto" w:fill="auto"/>
          </w:tcPr>
          <w:p w14:paraId="451AEE3B" w14:textId="77777777" w:rsidR="00B921EA" w:rsidRDefault="00BE3086">
            <w:pPr>
              <w:rPr>
                <w:rFonts w:ascii="Calibri" w:eastAsia="Calibri" w:hAnsi="Calibri" w:cs="Calibri"/>
                <w:color w:val="000000"/>
              </w:rPr>
            </w:pPr>
            <w:r>
              <w:rPr>
                <w:rFonts w:ascii="Calibri" w:eastAsia="Calibri" w:hAnsi="Calibri" w:cs="Calibri"/>
                <w:color w:val="000000"/>
              </w:rPr>
              <w:t>Australia New Zealand</w:t>
            </w:r>
          </w:p>
        </w:tc>
      </w:tr>
      <w:tr w:rsidR="00B921EA" w14:paraId="451AEE44" w14:textId="77777777">
        <w:trPr>
          <w:trHeight w:val="315"/>
        </w:trPr>
        <w:tc>
          <w:tcPr>
            <w:tcW w:w="2808" w:type="dxa"/>
            <w:tcBorders>
              <w:top w:val="nil"/>
              <w:left w:val="single" w:sz="4" w:space="0" w:color="000000"/>
              <w:bottom w:val="single" w:sz="4" w:space="0" w:color="000000"/>
              <w:right w:val="single" w:sz="4" w:space="0" w:color="000000"/>
            </w:tcBorders>
            <w:shd w:val="clear" w:color="auto" w:fill="auto"/>
          </w:tcPr>
          <w:p w14:paraId="451AEE3D" w14:textId="77777777" w:rsidR="00B921EA" w:rsidRDefault="00BE3086">
            <w:pPr>
              <w:rPr>
                <w:rFonts w:ascii="Calibri" w:eastAsia="Calibri" w:hAnsi="Calibri" w:cs="Calibri"/>
                <w:color w:val="000000"/>
              </w:rPr>
            </w:pPr>
            <w:r>
              <w:rPr>
                <w:rFonts w:ascii="Calibri" w:eastAsia="Calibri" w:hAnsi="Calibri" w:cs="Calibri"/>
                <w:color w:val="000000"/>
              </w:rPr>
              <w:t>Blueberry red ringspot virus</w:t>
            </w:r>
          </w:p>
        </w:tc>
        <w:tc>
          <w:tcPr>
            <w:tcW w:w="1152" w:type="dxa"/>
            <w:tcBorders>
              <w:top w:val="nil"/>
              <w:left w:val="nil"/>
              <w:bottom w:val="single" w:sz="4" w:space="0" w:color="000000"/>
              <w:right w:val="single" w:sz="4" w:space="0" w:color="000000"/>
            </w:tcBorders>
            <w:shd w:val="clear" w:color="auto" w:fill="auto"/>
            <w:vAlign w:val="bottom"/>
          </w:tcPr>
          <w:p w14:paraId="451AEE3E" w14:textId="77777777" w:rsidR="00B921EA" w:rsidRDefault="00BE3086">
            <w:pPr>
              <w:rPr>
                <w:rFonts w:ascii="Calibri" w:eastAsia="Calibri" w:hAnsi="Calibri" w:cs="Calibri"/>
                <w:color w:val="000000"/>
              </w:rPr>
            </w:pPr>
            <w:r>
              <w:rPr>
                <w:rFonts w:ascii="Calibri" w:eastAsia="Calibri" w:hAnsi="Calibri" w:cs="Calibri"/>
                <w:color w:val="000000"/>
              </w:rPr>
              <w:t>Yes</w:t>
            </w:r>
          </w:p>
        </w:tc>
        <w:tc>
          <w:tcPr>
            <w:tcW w:w="1080" w:type="dxa"/>
            <w:tcBorders>
              <w:top w:val="nil"/>
              <w:left w:val="nil"/>
              <w:bottom w:val="single" w:sz="4" w:space="0" w:color="000000"/>
              <w:right w:val="single" w:sz="4" w:space="0" w:color="000000"/>
            </w:tcBorders>
            <w:shd w:val="clear" w:color="auto" w:fill="auto"/>
            <w:vAlign w:val="bottom"/>
          </w:tcPr>
          <w:p w14:paraId="451AEE3F" w14:textId="77777777" w:rsidR="00B921EA" w:rsidRDefault="00BE3086">
            <w:pPr>
              <w:rPr>
                <w:rFonts w:ascii="Calibri" w:eastAsia="Calibri" w:hAnsi="Calibri" w:cs="Calibri"/>
                <w:color w:val="000000"/>
              </w:rPr>
            </w:pPr>
            <w:r>
              <w:rPr>
                <w:rFonts w:ascii="Calibri" w:eastAsia="Calibri" w:hAnsi="Calibri" w:cs="Calibri"/>
                <w:color w:val="000000"/>
              </w:rPr>
              <w:t>N/A</w:t>
            </w:r>
          </w:p>
        </w:tc>
        <w:tc>
          <w:tcPr>
            <w:tcW w:w="1080" w:type="dxa"/>
            <w:tcBorders>
              <w:top w:val="nil"/>
              <w:left w:val="nil"/>
              <w:bottom w:val="single" w:sz="4" w:space="0" w:color="000000"/>
              <w:right w:val="single" w:sz="4" w:space="0" w:color="000000"/>
            </w:tcBorders>
            <w:shd w:val="clear" w:color="auto" w:fill="auto"/>
            <w:vAlign w:val="bottom"/>
          </w:tcPr>
          <w:p w14:paraId="451AEE40" w14:textId="77777777" w:rsidR="00B921EA" w:rsidRDefault="00BE3086">
            <w:pPr>
              <w:rPr>
                <w:rFonts w:ascii="Calibri" w:eastAsia="Calibri" w:hAnsi="Calibri" w:cs="Calibri"/>
                <w:color w:val="000000"/>
              </w:rPr>
            </w:pPr>
            <w:r>
              <w:rPr>
                <w:rFonts w:ascii="Calibri" w:eastAsia="Calibri" w:hAnsi="Calibri" w:cs="Calibri"/>
                <w:color w:val="000000"/>
              </w:rPr>
              <w:t>Yes</w:t>
            </w:r>
          </w:p>
        </w:tc>
        <w:tc>
          <w:tcPr>
            <w:tcW w:w="1177" w:type="dxa"/>
            <w:tcBorders>
              <w:top w:val="nil"/>
              <w:left w:val="nil"/>
              <w:bottom w:val="single" w:sz="4" w:space="0" w:color="000000"/>
              <w:right w:val="single" w:sz="4" w:space="0" w:color="000000"/>
            </w:tcBorders>
            <w:shd w:val="clear" w:color="auto" w:fill="auto"/>
            <w:vAlign w:val="bottom"/>
          </w:tcPr>
          <w:p w14:paraId="451AEE41" w14:textId="77777777" w:rsidR="00B921EA" w:rsidRDefault="00BE3086">
            <w:pPr>
              <w:rPr>
                <w:rFonts w:ascii="Calibri" w:eastAsia="Calibri" w:hAnsi="Calibri" w:cs="Calibri"/>
                <w:color w:val="000000"/>
              </w:rPr>
            </w:pPr>
            <w:r>
              <w:rPr>
                <w:rFonts w:ascii="Calibri" w:eastAsia="Calibri" w:hAnsi="Calibri" w:cs="Calibri"/>
                <w:color w:val="000000"/>
              </w:rPr>
              <w:t>N/A</w:t>
            </w:r>
          </w:p>
        </w:tc>
        <w:tc>
          <w:tcPr>
            <w:tcW w:w="714" w:type="dxa"/>
            <w:tcBorders>
              <w:top w:val="nil"/>
              <w:left w:val="nil"/>
              <w:bottom w:val="single" w:sz="4" w:space="0" w:color="000000"/>
              <w:right w:val="single" w:sz="4" w:space="0" w:color="000000"/>
            </w:tcBorders>
            <w:shd w:val="clear" w:color="auto" w:fill="auto"/>
            <w:vAlign w:val="bottom"/>
          </w:tcPr>
          <w:p w14:paraId="451AEE42" w14:textId="77777777" w:rsidR="00B921EA" w:rsidRDefault="00BE3086">
            <w:pPr>
              <w:rPr>
                <w:rFonts w:ascii="Calibri" w:eastAsia="Calibri" w:hAnsi="Calibri" w:cs="Calibri"/>
                <w:color w:val="000000"/>
              </w:rPr>
            </w:pPr>
            <w:r>
              <w:rPr>
                <w:rFonts w:ascii="Calibri" w:eastAsia="Calibri" w:hAnsi="Calibri" w:cs="Calibri"/>
                <w:color w:val="000000"/>
              </w:rPr>
              <w:t>Yes</w:t>
            </w:r>
          </w:p>
        </w:tc>
        <w:tc>
          <w:tcPr>
            <w:tcW w:w="1349" w:type="dxa"/>
            <w:tcBorders>
              <w:top w:val="nil"/>
              <w:left w:val="nil"/>
              <w:bottom w:val="single" w:sz="4" w:space="0" w:color="000000"/>
              <w:right w:val="single" w:sz="4" w:space="0" w:color="000000"/>
            </w:tcBorders>
            <w:shd w:val="clear" w:color="auto" w:fill="auto"/>
            <w:vAlign w:val="bottom"/>
          </w:tcPr>
          <w:p w14:paraId="451AEE43" w14:textId="77777777" w:rsidR="00B921EA" w:rsidRDefault="00BE3086">
            <w:pPr>
              <w:rPr>
                <w:rFonts w:ascii="Calibri" w:eastAsia="Calibri" w:hAnsi="Calibri" w:cs="Calibri"/>
                <w:color w:val="000000"/>
              </w:rPr>
            </w:pPr>
            <w:r>
              <w:rPr>
                <w:rFonts w:ascii="Calibri" w:eastAsia="Calibri" w:hAnsi="Calibri" w:cs="Calibri"/>
                <w:color w:val="000000"/>
              </w:rPr>
              <w:t>Yes</w:t>
            </w:r>
          </w:p>
        </w:tc>
      </w:tr>
      <w:tr w:rsidR="00B921EA" w14:paraId="451AEE4C" w14:textId="77777777">
        <w:trPr>
          <w:trHeight w:val="315"/>
        </w:trPr>
        <w:tc>
          <w:tcPr>
            <w:tcW w:w="2808" w:type="dxa"/>
            <w:tcBorders>
              <w:top w:val="nil"/>
              <w:left w:val="single" w:sz="4" w:space="0" w:color="000000"/>
              <w:bottom w:val="single" w:sz="4" w:space="0" w:color="000000"/>
              <w:right w:val="single" w:sz="4" w:space="0" w:color="000000"/>
            </w:tcBorders>
            <w:shd w:val="clear" w:color="auto" w:fill="auto"/>
            <w:vAlign w:val="bottom"/>
          </w:tcPr>
          <w:p w14:paraId="451AEE45" w14:textId="77777777" w:rsidR="00B921EA" w:rsidRDefault="00BE3086">
            <w:pPr>
              <w:rPr>
                <w:rFonts w:ascii="Calibri" w:eastAsia="Calibri" w:hAnsi="Calibri" w:cs="Calibri"/>
                <w:color w:val="000000"/>
              </w:rPr>
            </w:pPr>
            <w:r>
              <w:rPr>
                <w:rFonts w:ascii="Calibri" w:eastAsia="Calibri" w:hAnsi="Calibri" w:cs="Calibri"/>
                <w:color w:val="000000"/>
              </w:rPr>
              <w:t>Blueberry scorch virus</w:t>
            </w:r>
          </w:p>
        </w:tc>
        <w:tc>
          <w:tcPr>
            <w:tcW w:w="1152" w:type="dxa"/>
            <w:tcBorders>
              <w:top w:val="nil"/>
              <w:left w:val="nil"/>
              <w:bottom w:val="single" w:sz="4" w:space="0" w:color="000000"/>
              <w:right w:val="single" w:sz="4" w:space="0" w:color="000000"/>
            </w:tcBorders>
            <w:shd w:val="clear" w:color="auto" w:fill="auto"/>
            <w:vAlign w:val="bottom"/>
          </w:tcPr>
          <w:p w14:paraId="451AEE46" w14:textId="77777777" w:rsidR="00B921EA" w:rsidRDefault="00BE3086">
            <w:pPr>
              <w:rPr>
                <w:rFonts w:ascii="Calibri" w:eastAsia="Calibri" w:hAnsi="Calibri" w:cs="Calibri"/>
                <w:color w:val="000000"/>
              </w:rPr>
            </w:pPr>
            <w:r>
              <w:rPr>
                <w:rFonts w:ascii="Calibri" w:eastAsia="Calibri" w:hAnsi="Calibri" w:cs="Calibri"/>
                <w:color w:val="000000"/>
              </w:rPr>
              <w:t>Yes</w:t>
            </w:r>
          </w:p>
        </w:tc>
        <w:tc>
          <w:tcPr>
            <w:tcW w:w="1080" w:type="dxa"/>
            <w:tcBorders>
              <w:top w:val="nil"/>
              <w:left w:val="nil"/>
              <w:bottom w:val="single" w:sz="4" w:space="0" w:color="000000"/>
              <w:right w:val="single" w:sz="4" w:space="0" w:color="000000"/>
            </w:tcBorders>
            <w:shd w:val="clear" w:color="auto" w:fill="auto"/>
            <w:vAlign w:val="bottom"/>
          </w:tcPr>
          <w:p w14:paraId="451AEE47" w14:textId="77777777" w:rsidR="00B921EA" w:rsidRDefault="00BE3086">
            <w:pPr>
              <w:rPr>
                <w:rFonts w:ascii="Calibri" w:eastAsia="Calibri" w:hAnsi="Calibri" w:cs="Calibri"/>
                <w:color w:val="000000"/>
              </w:rPr>
            </w:pPr>
            <w:r>
              <w:rPr>
                <w:rFonts w:ascii="Calibri" w:eastAsia="Calibri" w:hAnsi="Calibri" w:cs="Calibri"/>
                <w:color w:val="000000"/>
              </w:rPr>
              <w:t>N/A</w:t>
            </w:r>
          </w:p>
        </w:tc>
        <w:tc>
          <w:tcPr>
            <w:tcW w:w="1080" w:type="dxa"/>
            <w:tcBorders>
              <w:top w:val="nil"/>
              <w:left w:val="nil"/>
              <w:bottom w:val="single" w:sz="4" w:space="0" w:color="000000"/>
              <w:right w:val="single" w:sz="4" w:space="0" w:color="000000"/>
            </w:tcBorders>
            <w:shd w:val="clear" w:color="auto" w:fill="auto"/>
            <w:vAlign w:val="bottom"/>
          </w:tcPr>
          <w:p w14:paraId="451AEE48" w14:textId="77777777" w:rsidR="00B921EA" w:rsidRDefault="00BE3086">
            <w:pPr>
              <w:rPr>
                <w:rFonts w:ascii="Calibri" w:eastAsia="Calibri" w:hAnsi="Calibri" w:cs="Calibri"/>
                <w:color w:val="000000"/>
              </w:rPr>
            </w:pPr>
            <w:r>
              <w:rPr>
                <w:rFonts w:ascii="Calibri" w:eastAsia="Calibri" w:hAnsi="Calibri" w:cs="Calibri"/>
                <w:color w:val="000000"/>
              </w:rPr>
              <w:t>Yes</w:t>
            </w:r>
          </w:p>
        </w:tc>
        <w:tc>
          <w:tcPr>
            <w:tcW w:w="1177" w:type="dxa"/>
            <w:tcBorders>
              <w:top w:val="nil"/>
              <w:left w:val="nil"/>
              <w:bottom w:val="single" w:sz="4" w:space="0" w:color="000000"/>
              <w:right w:val="single" w:sz="4" w:space="0" w:color="000000"/>
            </w:tcBorders>
            <w:shd w:val="clear" w:color="auto" w:fill="auto"/>
            <w:vAlign w:val="bottom"/>
          </w:tcPr>
          <w:p w14:paraId="451AEE49" w14:textId="77777777" w:rsidR="00B921EA" w:rsidRDefault="00BE3086">
            <w:pPr>
              <w:rPr>
                <w:rFonts w:ascii="Calibri" w:eastAsia="Calibri" w:hAnsi="Calibri" w:cs="Calibri"/>
                <w:color w:val="000000"/>
              </w:rPr>
            </w:pPr>
            <w:r>
              <w:rPr>
                <w:rFonts w:ascii="Calibri" w:eastAsia="Calibri" w:hAnsi="Calibri" w:cs="Calibri"/>
                <w:color w:val="000000"/>
              </w:rPr>
              <w:t>N/A</w:t>
            </w:r>
          </w:p>
        </w:tc>
        <w:tc>
          <w:tcPr>
            <w:tcW w:w="714" w:type="dxa"/>
            <w:tcBorders>
              <w:top w:val="nil"/>
              <w:left w:val="nil"/>
              <w:bottom w:val="single" w:sz="4" w:space="0" w:color="000000"/>
              <w:right w:val="single" w:sz="4" w:space="0" w:color="000000"/>
            </w:tcBorders>
            <w:shd w:val="clear" w:color="auto" w:fill="auto"/>
            <w:vAlign w:val="bottom"/>
          </w:tcPr>
          <w:p w14:paraId="451AEE4A" w14:textId="77777777" w:rsidR="00B921EA" w:rsidRDefault="00BE3086">
            <w:pPr>
              <w:rPr>
                <w:rFonts w:ascii="Calibri" w:eastAsia="Calibri" w:hAnsi="Calibri" w:cs="Calibri"/>
                <w:color w:val="000000"/>
              </w:rPr>
            </w:pPr>
            <w:r>
              <w:rPr>
                <w:rFonts w:ascii="Calibri" w:eastAsia="Calibri" w:hAnsi="Calibri" w:cs="Calibri"/>
                <w:color w:val="000000"/>
              </w:rPr>
              <w:t>N/A</w:t>
            </w:r>
          </w:p>
        </w:tc>
        <w:tc>
          <w:tcPr>
            <w:tcW w:w="1349" w:type="dxa"/>
            <w:tcBorders>
              <w:top w:val="nil"/>
              <w:left w:val="nil"/>
              <w:bottom w:val="single" w:sz="4" w:space="0" w:color="000000"/>
              <w:right w:val="single" w:sz="4" w:space="0" w:color="000000"/>
            </w:tcBorders>
            <w:shd w:val="clear" w:color="auto" w:fill="auto"/>
            <w:vAlign w:val="bottom"/>
          </w:tcPr>
          <w:p w14:paraId="451AEE4B" w14:textId="77777777" w:rsidR="00B921EA" w:rsidRDefault="00BE3086">
            <w:pPr>
              <w:rPr>
                <w:rFonts w:ascii="Calibri" w:eastAsia="Calibri" w:hAnsi="Calibri" w:cs="Calibri"/>
                <w:color w:val="000000"/>
              </w:rPr>
            </w:pPr>
            <w:r>
              <w:rPr>
                <w:rFonts w:ascii="Calibri" w:eastAsia="Calibri" w:hAnsi="Calibri" w:cs="Calibri"/>
                <w:color w:val="000000"/>
              </w:rPr>
              <w:t>N/A</w:t>
            </w:r>
          </w:p>
        </w:tc>
      </w:tr>
      <w:tr w:rsidR="00B921EA" w14:paraId="451AEE54" w14:textId="77777777">
        <w:trPr>
          <w:trHeight w:val="315"/>
        </w:trPr>
        <w:tc>
          <w:tcPr>
            <w:tcW w:w="2808" w:type="dxa"/>
            <w:tcBorders>
              <w:top w:val="nil"/>
              <w:left w:val="single" w:sz="4" w:space="0" w:color="000000"/>
              <w:bottom w:val="single" w:sz="4" w:space="0" w:color="000000"/>
              <w:right w:val="single" w:sz="4" w:space="0" w:color="000000"/>
            </w:tcBorders>
            <w:shd w:val="clear" w:color="auto" w:fill="auto"/>
            <w:vAlign w:val="bottom"/>
          </w:tcPr>
          <w:p w14:paraId="451AEE4D" w14:textId="77777777" w:rsidR="00B921EA" w:rsidRDefault="00BE3086">
            <w:pPr>
              <w:rPr>
                <w:rFonts w:ascii="Calibri" w:eastAsia="Calibri" w:hAnsi="Calibri" w:cs="Calibri"/>
                <w:color w:val="000000"/>
              </w:rPr>
            </w:pPr>
            <w:r>
              <w:rPr>
                <w:rFonts w:ascii="Calibri" w:eastAsia="Calibri" w:hAnsi="Calibri" w:cs="Calibri"/>
                <w:color w:val="000000"/>
              </w:rPr>
              <w:t>Blueberry shock virus</w:t>
            </w:r>
          </w:p>
        </w:tc>
        <w:tc>
          <w:tcPr>
            <w:tcW w:w="1152" w:type="dxa"/>
            <w:tcBorders>
              <w:top w:val="nil"/>
              <w:left w:val="nil"/>
              <w:bottom w:val="single" w:sz="4" w:space="0" w:color="000000"/>
              <w:right w:val="single" w:sz="4" w:space="0" w:color="000000"/>
            </w:tcBorders>
            <w:shd w:val="clear" w:color="auto" w:fill="auto"/>
            <w:vAlign w:val="bottom"/>
          </w:tcPr>
          <w:p w14:paraId="451AEE4E" w14:textId="77777777" w:rsidR="00B921EA" w:rsidRDefault="00BE3086">
            <w:pPr>
              <w:rPr>
                <w:rFonts w:ascii="Calibri" w:eastAsia="Calibri" w:hAnsi="Calibri" w:cs="Calibri"/>
                <w:color w:val="000000"/>
              </w:rPr>
            </w:pPr>
            <w:r>
              <w:rPr>
                <w:rFonts w:ascii="Calibri" w:eastAsia="Calibri" w:hAnsi="Calibri" w:cs="Calibri"/>
                <w:color w:val="000000"/>
              </w:rPr>
              <w:t>Yes</w:t>
            </w:r>
          </w:p>
        </w:tc>
        <w:tc>
          <w:tcPr>
            <w:tcW w:w="1080" w:type="dxa"/>
            <w:tcBorders>
              <w:top w:val="nil"/>
              <w:left w:val="nil"/>
              <w:bottom w:val="single" w:sz="4" w:space="0" w:color="000000"/>
              <w:right w:val="single" w:sz="4" w:space="0" w:color="000000"/>
            </w:tcBorders>
            <w:shd w:val="clear" w:color="auto" w:fill="auto"/>
            <w:vAlign w:val="bottom"/>
          </w:tcPr>
          <w:p w14:paraId="451AEE4F" w14:textId="77777777" w:rsidR="00B921EA" w:rsidRDefault="00BE3086">
            <w:pPr>
              <w:rPr>
                <w:rFonts w:ascii="Calibri" w:eastAsia="Calibri" w:hAnsi="Calibri" w:cs="Calibri"/>
                <w:color w:val="000000"/>
              </w:rPr>
            </w:pPr>
            <w:r>
              <w:rPr>
                <w:rFonts w:ascii="Calibri" w:eastAsia="Calibri" w:hAnsi="Calibri" w:cs="Calibri"/>
                <w:color w:val="000000"/>
              </w:rPr>
              <w:t>N/A</w:t>
            </w:r>
          </w:p>
        </w:tc>
        <w:tc>
          <w:tcPr>
            <w:tcW w:w="1080" w:type="dxa"/>
            <w:tcBorders>
              <w:top w:val="nil"/>
              <w:left w:val="nil"/>
              <w:bottom w:val="single" w:sz="4" w:space="0" w:color="000000"/>
              <w:right w:val="single" w:sz="4" w:space="0" w:color="000000"/>
            </w:tcBorders>
            <w:shd w:val="clear" w:color="auto" w:fill="auto"/>
            <w:vAlign w:val="bottom"/>
          </w:tcPr>
          <w:p w14:paraId="451AEE50" w14:textId="77777777" w:rsidR="00B921EA" w:rsidRDefault="00BE3086">
            <w:pPr>
              <w:rPr>
                <w:rFonts w:ascii="Calibri" w:eastAsia="Calibri" w:hAnsi="Calibri" w:cs="Calibri"/>
                <w:color w:val="000000"/>
              </w:rPr>
            </w:pPr>
            <w:r>
              <w:rPr>
                <w:rFonts w:ascii="Calibri" w:eastAsia="Calibri" w:hAnsi="Calibri" w:cs="Calibri"/>
                <w:color w:val="000000"/>
              </w:rPr>
              <w:t>Yes?</w:t>
            </w:r>
          </w:p>
        </w:tc>
        <w:tc>
          <w:tcPr>
            <w:tcW w:w="1177" w:type="dxa"/>
            <w:tcBorders>
              <w:top w:val="nil"/>
              <w:left w:val="nil"/>
              <w:bottom w:val="single" w:sz="4" w:space="0" w:color="000000"/>
              <w:right w:val="single" w:sz="4" w:space="0" w:color="000000"/>
            </w:tcBorders>
            <w:shd w:val="clear" w:color="auto" w:fill="auto"/>
            <w:vAlign w:val="bottom"/>
          </w:tcPr>
          <w:p w14:paraId="451AEE51" w14:textId="77777777" w:rsidR="00B921EA" w:rsidRDefault="00BE3086">
            <w:pPr>
              <w:rPr>
                <w:rFonts w:ascii="Calibri" w:eastAsia="Calibri" w:hAnsi="Calibri" w:cs="Calibri"/>
                <w:color w:val="000000"/>
              </w:rPr>
            </w:pPr>
            <w:r>
              <w:rPr>
                <w:rFonts w:ascii="Calibri" w:eastAsia="Calibri" w:hAnsi="Calibri" w:cs="Calibri"/>
                <w:color w:val="000000"/>
              </w:rPr>
              <w:t>N/A</w:t>
            </w:r>
          </w:p>
        </w:tc>
        <w:tc>
          <w:tcPr>
            <w:tcW w:w="714" w:type="dxa"/>
            <w:tcBorders>
              <w:top w:val="nil"/>
              <w:left w:val="nil"/>
              <w:bottom w:val="single" w:sz="4" w:space="0" w:color="000000"/>
              <w:right w:val="single" w:sz="4" w:space="0" w:color="000000"/>
            </w:tcBorders>
            <w:shd w:val="clear" w:color="auto" w:fill="auto"/>
            <w:vAlign w:val="bottom"/>
          </w:tcPr>
          <w:p w14:paraId="451AEE52" w14:textId="77777777" w:rsidR="00B921EA" w:rsidRDefault="00BE3086">
            <w:pPr>
              <w:rPr>
                <w:rFonts w:ascii="Calibri" w:eastAsia="Calibri" w:hAnsi="Calibri" w:cs="Calibri"/>
                <w:color w:val="000000"/>
              </w:rPr>
            </w:pPr>
            <w:r>
              <w:rPr>
                <w:rFonts w:ascii="Calibri" w:eastAsia="Calibri" w:hAnsi="Calibri" w:cs="Calibri"/>
                <w:color w:val="000000"/>
              </w:rPr>
              <w:t>N/A</w:t>
            </w:r>
          </w:p>
        </w:tc>
        <w:tc>
          <w:tcPr>
            <w:tcW w:w="1349" w:type="dxa"/>
            <w:tcBorders>
              <w:top w:val="nil"/>
              <w:left w:val="nil"/>
              <w:bottom w:val="single" w:sz="4" w:space="0" w:color="000000"/>
              <w:right w:val="single" w:sz="4" w:space="0" w:color="000000"/>
            </w:tcBorders>
            <w:shd w:val="clear" w:color="auto" w:fill="auto"/>
            <w:vAlign w:val="bottom"/>
          </w:tcPr>
          <w:p w14:paraId="451AEE53" w14:textId="77777777" w:rsidR="00B921EA" w:rsidRDefault="00BE3086">
            <w:pPr>
              <w:rPr>
                <w:rFonts w:ascii="Calibri" w:eastAsia="Calibri" w:hAnsi="Calibri" w:cs="Calibri"/>
                <w:color w:val="000000"/>
              </w:rPr>
            </w:pPr>
            <w:r>
              <w:rPr>
                <w:rFonts w:ascii="Calibri" w:eastAsia="Calibri" w:hAnsi="Calibri" w:cs="Calibri"/>
                <w:color w:val="000000"/>
              </w:rPr>
              <w:t>N/A</w:t>
            </w:r>
          </w:p>
        </w:tc>
      </w:tr>
      <w:tr w:rsidR="00B921EA" w14:paraId="451AEE5C" w14:textId="77777777">
        <w:trPr>
          <w:trHeight w:val="315"/>
        </w:trPr>
        <w:tc>
          <w:tcPr>
            <w:tcW w:w="2808" w:type="dxa"/>
            <w:tcBorders>
              <w:top w:val="nil"/>
              <w:left w:val="single" w:sz="4" w:space="0" w:color="000000"/>
              <w:bottom w:val="single" w:sz="4" w:space="0" w:color="000000"/>
              <w:right w:val="single" w:sz="4" w:space="0" w:color="000000"/>
            </w:tcBorders>
            <w:shd w:val="clear" w:color="auto" w:fill="auto"/>
            <w:vAlign w:val="bottom"/>
          </w:tcPr>
          <w:p w14:paraId="451AEE55" w14:textId="77777777" w:rsidR="00B921EA" w:rsidRDefault="00BE3086">
            <w:pPr>
              <w:rPr>
                <w:rFonts w:ascii="Calibri" w:eastAsia="Calibri" w:hAnsi="Calibri" w:cs="Calibri"/>
                <w:color w:val="000000"/>
              </w:rPr>
            </w:pPr>
            <w:r>
              <w:rPr>
                <w:rFonts w:ascii="Calibri" w:eastAsia="Calibri" w:hAnsi="Calibri" w:cs="Calibri"/>
                <w:color w:val="000000"/>
              </w:rPr>
              <w:t>Tobacco streak virus</w:t>
            </w:r>
          </w:p>
        </w:tc>
        <w:tc>
          <w:tcPr>
            <w:tcW w:w="1152" w:type="dxa"/>
            <w:tcBorders>
              <w:top w:val="nil"/>
              <w:left w:val="nil"/>
              <w:bottom w:val="single" w:sz="4" w:space="0" w:color="000000"/>
              <w:right w:val="single" w:sz="4" w:space="0" w:color="000000"/>
            </w:tcBorders>
            <w:shd w:val="clear" w:color="auto" w:fill="auto"/>
            <w:vAlign w:val="bottom"/>
          </w:tcPr>
          <w:p w14:paraId="451AEE56" w14:textId="77777777" w:rsidR="00B921EA" w:rsidRDefault="00BE3086">
            <w:pPr>
              <w:rPr>
                <w:rFonts w:ascii="Calibri" w:eastAsia="Calibri" w:hAnsi="Calibri" w:cs="Calibri"/>
                <w:color w:val="000000"/>
              </w:rPr>
            </w:pPr>
            <w:r>
              <w:rPr>
                <w:rFonts w:ascii="Calibri" w:eastAsia="Calibri" w:hAnsi="Calibri" w:cs="Calibri"/>
                <w:color w:val="000000"/>
              </w:rPr>
              <w:t>Yes</w:t>
            </w:r>
          </w:p>
        </w:tc>
        <w:tc>
          <w:tcPr>
            <w:tcW w:w="1080" w:type="dxa"/>
            <w:tcBorders>
              <w:top w:val="nil"/>
              <w:left w:val="nil"/>
              <w:bottom w:val="single" w:sz="4" w:space="0" w:color="000000"/>
              <w:right w:val="single" w:sz="4" w:space="0" w:color="000000"/>
            </w:tcBorders>
            <w:shd w:val="clear" w:color="auto" w:fill="auto"/>
            <w:vAlign w:val="bottom"/>
          </w:tcPr>
          <w:p w14:paraId="451AEE57" w14:textId="77777777" w:rsidR="00B921EA" w:rsidRDefault="00BE3086">
            <w:pPr>
              <w:rPr>
                <w:rFonts w:ascii="Calibri" w:eastAsia="Calibri" w:hAnsi="Calibri" w:cs="Calibri"/>
                <w:color w:val="000000"/>
              </w:rPr>
            </w:pPr>
            <w:r>
              <w:rPr>
                <w:rFonts w:ascii="Calibri" w:eastAsia="Calibri" w:hAnsi="Calibri" w:cs="Calibri"/>
                <w:color w:val="000000"/>
              </w:rPr>
              <w:t>Yes</w:t>
            </w:r>
          </w:p>
        </w:tc>
        <w:tc>
          <w:tcPr>
            <w:tcW w:w="1080" w:type="dxa"/>
            <w:tcBorders>
              <w:top w:val="nil"/>
              <w:left w:val="nil"/>
              <w:bottom w:val="single" w:sz="4" w:space="0" w:color="000000"/>
              <w:right w:val="single" w:sz="4" w:space="0" w:color="000000"/>
            </w:tcBorders>
            <w:shd w:val="clear" w:color="auto" w:fill="auto"/>
            <w:vAlign w:val="bottom"/>
          </w:tcPr>
          <w:p w14:paraId="451AEE58" w14:textId="77777777" w:rsidR="00B921EA" w:rsidRDefault="00BE3086">
            <w:pPr>
              <w:rPr>
                <w:rFonts w:ascii="Calibri" w:eastAsia="Calibri" w:hAnsi="Calibri" w:cs="Calibri"/>
                <w:color w:val="000000"/>
              </w:rPr>
            </w:pPr>
            <w:r>
              <w:rPr>
                <w:rFonts w:ascii="Calibri" w:eastAsia="Calibri" w:hAnsi="Calibri" w:cs="Calibri"/>
                <w:color w:val="000000"/>
              </w:rPr>
              <w:t>Yes</w:t>
            </w:r>
          </w:p>
        </w:tc>
        <w:tc>
          <w:tcPr>
            <w:tcW w:w="1177" w:type="dxa"/>
            <w:tcBorders>
              <w:top w:val="nil"/>
              <w:left w:val="nil"/>
              <w:bottom w:val="single" w:sz="4" w:space="0" w:color="000000"/>
              <w:right w:val="single" w:sz="4" w:space="0" w:color="000000"/>
            </w:tcBorders>
            <w:shd w:val="clear" w:color="auto" w:fill="auto"/>
            <w:vAlign w:val="bottom"/>
          </w:tcPr>
          <w:p w14:paraId="451AEE59" w14:textId="77777777" w:rsidR="00B921EA" w:rsidRDefault="00BE3086">
            <w:pPr>
              <w:rPr>
                <w:rFonts w:ascii="Calibri" w:eastAsia="Calibri" w:hAnsi="Calibri" w:cs="Calibri"/>
                <w:color w:val="000000"/>
              </w:rPr>
            </w:pPr>
            <w:r>
              <w:rPr>
                <w:rFonts w:ascii="Calibri" w:eastAsia="Calibri" w:hAnsi="Calibri" w:cs="Calibri"/>
                <w:color w:val="000000"/>
              </w:rPr>
              <w:t>Yes</w:t>
            </w:r>
          </w:p>
        </w:tc>
        <w:tc>
          <w:tcPr>
            <w:tcW w:w="714" w:type="dxa"/>
            <w:tcBorders>
              <w:top w:val="nil"/>
              <w:left w:val="nil"/>
              <w:bottom w:val="single" w:sz="4" w:space="0" w:color="000000"/>
              <w:right w:val="single" w:sz="4" w:space="0" w:color="000000"/>
            </w:tcBorders>
            <w:shd w:val="clear" w:color="auto" w:fill="auto"/>
            <w:vAlign w:val="bottom"/>
          </w:tcPr>
          <w:p w14:paraId="451AEE5A" w14:textId="77777777" w:rsidR="00B921EA" w:rsidRDefault="00BE3086">
            <w:pPr>
              <w:rPr>
                <w:rFonts w:ascii="Calibri" w:eastAsia="Calibri" w:hAnsi="Calibri" w:cs="Calibri"/>
                <w:color w:val="000000"/>
              </w:rPr>
            </w:pPr>
            <w:r>
              <w:rPr>
                <w:rFonts w:ascii="Calibri" w:eastAsia="Calibri" w:hAnsi="Calibri" w:cs="Calibri"/>
                <w:color w:val="000000"/>
              </w:rPr>
              <w:t>Yes</w:t>
            </w:r>
          </w:p>
        </w:tc>
        <w:tc>
          <w:tcPr>
            <w:tcW w:w="1349" w:type="dxa"/>
            <w:tcBorders>
              <w:top w:val="nil"/>
              <w:left w:val="nil"/>
              <w:bottom w:val="single" w:sz="4" w:space="0" w:color="000000"/>
              <w:right w:val="single" w:sz="4" w:space="0" w:color="000000"/>
            </w:tcBorders>
            <w:shd w:val="clear" w:color="auto" w:fill="auto"/>
            <w:vAlign w:val="bottom"/>
          </w:tcPr>
          <w:p w14:paraId="451AEE5B" w14:textId="77777777" w:rsidR="00B921EA" w:rsidRDefault="00BE3086">
            <w:pPr>
              <w:rPr>
                <w:rFonts w:ascii="Calibri" w:eastAsia="Calibri" w:hAnsi="Calibri" w:cs="Calibri"/>
                <w:color w:val="000000"/>
              </w:rPr>
            </w:pPr>
            <w:r>
              <w:rPr>
                <w:rFonts w:ascii="Calibri" w:eastAsia="Calibri" w:hAnsi="Calibri" w:cs="Calibri"/>
                <w:color w:val="000000"/>
              </w:rPr>
              <w:t>Yes</w:t>
            </w:r>
          </w:p>
        </w:tc>
      </w:tr>
    </w:tbl>
    <w:p w14:paraId="451AEE5D" w14:textId="77777777" w:rsidR="00B921EA" w:rsidRDefault="00B921EA"/>
    <w:p w14:paraId="451AEE5E" w14:textId="77777777" w:rsidR="00B921EA" w:rsidRDefault="00BE3086">
      <w:pPr>
        <w:tabs>
          <w:tab w:val="left" w:pos="2340"/>
          <w:tab w:val="left" w:pos="3960"/>
          <w:tab w:val="left" w:pos="5940"/>
          <w:tab w:val="left" w:pos="6120"/>
          <w:tab w:val="left" w:pos="7920"/>
          <w:tab w:val="left" w:pos="8280"/>
        </w:tabs>
        <w:ind w:right="-1440"/>
        <w:rPr>
          <w:rFonts w:ascii="Arial" w:eastAsia="Arial" w:hAnsi="Arial" w:cs="Arial"/>
          <w:sz w:val="20"/>
          <w:szCs w:val="20"/>
        </w:rPr>
      </w:pPr>
      <w:r>
        <w:rPr>
          <w:b/>
        </w:rPr>
        <w:t xml:space="preserve">Appendix Table 5. Virus detection methods and frequently used primer sequences. </w:t>
      </w:r>
    </w:p>
    <w:tbl>
      <w:tblPr>
        <w:tblStyle w:val="a4"/>
        <w:tblW w:w="9630" w:type="dxa"/>
        <w:tblInd w:w="-5" w:type="dxa"/>
        <w:tblLayout w:type="fixed"/>
        <w:tblLook w:val="0400" w:firstRow="0" w:lastRow="0" w:firstColumn="0" w:lastColumn="0" w:noHBand="0" w:noVBand="1"/>
      </w:tblPr>
      <w:tblGrid>
        <w:gridCol w:w="3460"/>
        <w:gridCol w:w="1360"/>
        <w:gridCol w:w="4810"/>
      </w:tblGrid>
      <w:tr w:rsidR="00B921EA" w14:paraId="451AEE62" w14:textId="77777777">
        <w:trPr>
          <w:trHeight w:val="600"/>
        </w:trPr>
        <w:tc>
          <w:tcPr>
            <w:tcW w:w="34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51AEE5F" w14:textId="77777777" w:rsidR="00B921EA" w:rsidRDefault="00BE3086">
            <w:pPr>
              <w:rPr>
                <w:rFonts w:ascii="Calibri" w:eastAsia="Calibri" w:hAnsi="Calibri" w:cs="Calibri"/>
                <w:b/>
                <w:color w:val="000000"/>
                <w:sz w:val="22"/>
                <w:szCs w:val="22"/>
              </w:rPr>
            </w:pPr>
            <w:r>
              <w:rPr>
                <w:rFonts w:ascii="Calibri" w:eastAsia="Calibri" w:hAnsi="Calibri" w:cs="Calibri"/>
                <w:b/>
                <w:color w:val="000000"/>
                <w:sz w:val="22"/>
                <w:szCs w:val="22"/>
              </w:rPr>
              <w:t>Virus</w:t>
            </w:r>
          </w:p>
        </w:tc>
        <w:tc>
          <w:tcPr>
            <w:tcW w:w="1360" w:type="dxa"/>
            <w:tcBorders>
              <w:top w:val="single" w:sz="4" w:space="0" w:color="000000"/>
              <w:left w:val="nil"/>
              <w:bottom w:val="single" w:sz="4" w:space="0" w:color="000000"/>
              <w:right w:val="single" w:sz="4" w:space="0" w:color="000000"/>
            </w:tcBorders>
            <w:shd w:val="clear" w:color="auto" w:fill="D9D9D9"/>
          </w:tcPr>
          <w:p w14:paraId="451AEE60" w14:textId="77777777" w:rsidR="00B921EA" w:rsidRDefault="00BE3086">
            <w:pPr>
              <w:rPr>
                <w:rFonts w:ascii="Calibri" w:eastAsia="Calibri" w:hAnsi="Calibri" w:cs="Calibri"/>
                <w:b/>
                <w:color w:val="000000"/>
                <w:sz w:val="22"/>
                <w:szCs w:val="22"/>
              </w:rPr>
            </w:pPr>
            <w:r>
              <w:rPr>
                <w:rFonts w:ascii="Calibri" w:eastAsia="Calibri" w:hAnsi="Calibri" w:cs="Calibri"/>
                <w:b/>
                <w:color w:val="000000"/>
                <w:sz w:val="22"/>
                <w:szCs w:val="22"/>
              </w:rPr>
              <w:t>Detection methods</w:t>
            </w:r>
          </w:p>
        </w:tc>
        <w:tc>
          <w:tcPr>
            <w:tcW w:w="4810" w:type="dxa"/>
            <w:tcBorders>
              <w:top w:val="single" w:sz="4" w:space="0" w:color="000000"/>
              <w:left w:val="nil"/>
              <w:bottom w:val="single" w:sz="4" w:space="0" w:color="000000"/>
              <w:right w:val="single" w:sz="4" w:space="0" w:color="000000"/>
            </w:tcBorders>
            <w:shd w:val="clear" w:color="auto" w:fill="D9D9D9"/>
            <w:vAlign w:val="bottom"/>
          </w:tcPr>
          <w:p w14:paraId="451AEE61" w14:textId="77777777" w:rsidR="00B921EA" w:rsidRDefault="00BE3086">
            <w:pPr>
              <w:rPr>
                <w:rFonts w:ascii="Calibri" w:eastAsia="Calibri" w:hAnsi="Calibri" w:cs="Calibri"/>
                <w:b/>
                <w:color w:val="000000"/>
                <w:sz w:val="22"/>
                <w:szCs w:val="22"/>
              </w:rPr>
            </w:pPr>
            <w:r>
              <w:rPr>
                <w:rFonts w:ascii="Calibri" w:eastAsia="Calibri" w:hAnsi="Calibri" w:cs="Calibri"/>
                <w:b/>
                <w:color w:val="000000"/>
                <w:sz w:val="22"/>
                <w:szCs w:val="22"/>
              </w:rPr>
              <w:t>Primer sequences</w:t>
            </w:r>
          </w:p>
        </w:tc>
      </w:tr>
      <w:tr w:rsidR="00B921EA" w14:paraId="451AEE66" w14:textId="77777777">
        <w:trPr>
          <w:trHeight w:val="300"/>
        </w:trPr>
        <w:tc>
          <w:tcPr>
            <w:tcW w:w="3460" w:type="dxa"/>
            <w:vMerge w:val="restart"/>
            <w:tcBorders>
              <w:top w:val="nil"/>
              <w:left w:val="single" w:sz="4" w:space="0" w:color="000000"/>
              <w:bottom w:val="single" w:sz="4" w:space="0" w:color="000000"/>
              <w:right w:val="single" w:sz="4" w:space="0" w:color="000000"/>
            </w:tcBorders>
            <w:shd w:val="clear" w:color="auto" w:fill="auto"/>
          </w:tcPr>
          <w:p w14:paraId="451AEE63"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 xml:space="preserve">Blueberry red ringspot virus </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451AEE64"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 </w:t>
            </w:r>
            <w:r>
              <w:rPr>
                <w:rFonts w:ascii="Calibri" w:eastAsia="Calibri" w:hAnsi="Calibri" w:cs="Calibri"/>
                <w:color w:val="000000"/>
              </w:rPr>
              <w:t>ELISA/PCR</w:t>
            </w:r>
          </w:p>
        </w:tc>
        <w:tc>
          <w:tcPr>
            <w:tcW w:w="4810" w:type="dxa"/>
            <w:tcBorders>
              <w:top w:val="nil"/>
              <w:left w:val="nil"/>
              <w:bottom w:val="single" w:sz="4" w:space="0" w:color="000000"/>
              <w:right w:val="single" w:sz="4" w:space="0" w:color="000000"/>
            </w:tcBorders>
            <w:shd w:val="clear" w:color="auto" w:fill="auto"/>
            <w:vAlign w:val="center"/>
          </w:tcPr>
          <w:p w14:paraId="451AEE65"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(RRSV3) ATCAGTCCCAGAAGAAAAGAAGTA</w:t>
            </w:r>
          </w:p>
        </w:tc>
      </w:tr>
      <w:tr w:rsidR="00B921EA" w14:paraId="451AEE6A" w14:textId="77777777">
        <w:trPr>
          <w:trHeight w:val="300"/>
        </w:trPr>
        <w:tc>
          <w:tcPr>
            <w:tcW w:w="3460" w:type="dxa"/>
            <w:vMerge/>
            <w:tcBorders>
              <w:top w:val="nil"/>
              <w:left w:val="single" w:sz="4" w:space="0" w:color="000000"/>
              <w:bottom w:val="single" w:sz="4" w:space="0" w:color="000000"/>
              <w:right w:val="single" w:sz="4" w:space="0" w:color="000000"/>
            </w:tcBorders>
            <w:shd w:val="clear" w:color="auto" w:fill="auto"/>
          </w:tcPr>
          <w:p w14:paraId="451AEE67" w14:textId="77777777" w:rsidR="00B921EA" w:rsidRDefault="00B921EA">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360" w:type="dxa"/>
            <w:vMerge/>
            <w:tcBorders>
              <w:top w:val="nil"/>
              <w:left w:val="single" w:sz="4" w:space="0" w:color="000000"/>
              <w:bottom w:val="single" w:sz="4" w:space="0" w:color="000000"/>
              <w:right w:val="single" w:sz="4" w:space="0" w:color="000000"/>
            </w:tcBorders>
            <w:shd w:val="clear" w:color="auto" w:fill="auto"/>
          </w:tcPr>
          <w:p w14:paraId="451AEE68" w14:textId="77777777" w:rsidR="00B921EA" w:rsidRDefault="00B921EA">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4810" w:type="dxa"/>
            <w:tcBorders>
              <w:top w:val="nil"/>
              <w:left w:val="nil"/>
              <w:bottom w:val="single" w:sz="4" w:space="0" w:color="000000"/>
              <w:right w:val="single" w:sz="4" w:space="0" w:color="000000"/>
            </w:tcBorders>
            <w:shd w:val="clear" w:color="auto" w:fill="auto"/>
            <w:vAlign w:val="center"/>
          </w:tcPr>
          <w:p w14:paraId="451AEE69"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 xml:space="preserve">(RRSV4) TCCGAAAAATAGATAGTGTCAGC 549bp </w:t>
            </w:r>
          </w:p>
        </w:tc>
      </w:tr>
      <w:tr w:rsidR="00B921EA" w14:paraId="451AEE6F" w14:textId="77777777">
        <w:trPr>
          <w:trHeight w:val="300"/>
        </w:trPr>
        <w:tc>
          <w:tcPr>
            <w:tcW w:w="3460" w:type="dxa"/>
            <w:vMerge w:val="restart"/>
            <w:tcBorders>
              <w:top w:val="nil"/>
              <w:left w:val="single" w:sz="4" w:space="0" w:color="000000"/>
              <w:bottom w:val="single" w:sz="4" w:space="0" w:color="000000"/>
              <w:right w:val="single" w:sz="4" w:space="0" w:color="000000"/>
            </w:tcBorders>
            <w:shd w:val="clear" w:color="auto" w:fill="auto"/>
          </w:tcPr>
          <w:p w14:paraId="451AEE6B"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Blueberry scorch virus  </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451AEE6C" w14:textId="77777777" w:rsidR="00B921EA" w:rsidRDefault="00BE3086">
            <w:pPr>
              <w:rPr>
                <w:rFonts w:ascii="Calibri" w:eastAsia="Calibri" w:hAnsi="Calibri" w:cs="Calibri"/>
                <w:color w:val="000000"/>
              </w:rPr>
            </w:pPr>
            <w:r>
              <w:rPr>
                <w:rFonts w:ascii="Calibri" w:eastAsia="Calibri" w:hAnsi="Calibri" w:cs="Calibri"/>
                <w:color w:val="000000"/>
              </w:rPr>
              <w:t xml:space="preserve">ELISA, </w:t>
            </w:r>
          </w:p>
          <w:p w14:paraId="451AEE6D" w14:textId="77777777" w:rsidR="00B921EA" w:rsidRDefault="00BE3086">
            <w:pPr>
              <w:rPr>
                <w:rFonts w:ascii="Calibri" w:eastAsia="Calibri" w:hAnsi="Calibri" w:cs="Calibri"/>
                <w:color w:val="000000"/>
                <w:sz w:val="22"/>
                <w:szCs w:val="22"/>
              </w:rPr>
            </w:pPr>
            <w:r>
              <w:rPr>
                <w:rFonts w:ascii="Calibri" w:eastAsia="Calibri" w:hAnsi="Calibri" w:cs="Calibri"/>
                <w:color w:val="000000"/>
              </w:rPr>
              <w:t>RT-PCR</w:t>
            </w:r>
          </w:p>
        </w:tc>
        <w:tc>
          <w:tcPr>
            <w:tcW w:w="4810" w:type="dxa"/>
            <w:tcBorders>
              <w:top w:val="nil"/>
              <w:left w:val="nil"/>
              <w:bottom w:val="single" w:sz="4" w:space="0" w:color="000000"/>
              <w:right w:val="single" w:sz="4" w:space="0" w:color="000000"/>
            </w:tcBorders>
            <w:shd w:val="clear" w:color="auto" w:fill="auto"/>
            <w:vAlign w:val="center"/>
          </w:tcPr>
          <w:p w14:paraId="451AEE6E"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(F) GAAAGAAGCACCGGCTCAATC</w:t>
            </w:r>
          </w:p>
        </w:tc>
      </w:tr>
      <w:tr w:rsidR="00B921EA" w14:paraId="451AEE73" w14:textId="77777777">
        <w:trPr>
          <w:trHeight w:val="300"/>
        </w:trPr>
        <w:tc>
          <w:tcPr>
            <w:tcW w:w="3460" w:type="dxa"/>
            <w:vMerge/>
            <w:tcBorders>
              <w:top w:val="nil"/>
              <w:left w:val="single" w:sz="4" w:space="0" w:color="000000"/>
              <w:bottom w:val="single" w:sz="4" w:space="0" w:color="000000"/>
              <w:right w:val="single" w:sz="4" w:space="0" w:color="000000"/>
            </w:tcBorders>
            <w:shd w:val="clear" w:color="auto" w:fill="auto"/>
          </w:tcPr>
          <w:p w14:paraId="451AEE70" w14:textId="77777777" w:rsidR="00B921EA" w:rsidRDefault="00B921EA">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360" w:type="dxa"/>
            <w:vMerge/>
            <w:tcBorders>
              <w:top w:val="nil"/>
              <w:left w:val="single" w:sz="4" w:space="0" w:color="000000"/>
              <w:bottom w:val="single" w:sz="4" w:space="0" w:color="000000"/>
              <w:right w:val="single" w:sz="4" w:space="0" w:color="000000"/>
            </w:tcBorders>
            <w:shd w:val="clear" w:color="auto" w:fill="auto"/>
          </w:tcPr>
          <w:p w14:paraId="451AEE71" w14:textId="77777777" w:rsidR="00B921EA" w:rsidRDefault="00B921EA">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4810" w:type="dxa"/>
            <w:tcBorders>
              <w:top w:val="nil"/>
              <w:left w:val="nil"/>
              <w:bottom w:val="single" w:sz="4" w:space="0" w:color="000000"/>
              <w:right w:val="single" w:sz="4" w:space="0" w:color="000000"/>
            </w:tcBorders>
            <w:shd w:val="clear" w:color="auto" w:fill="auto"/>
            <w:vAlign w:val="center"/>
          </w:tcPr>
          <w:p w14:paraId="451AEE72"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 xml:space="preserve">(R) GGAGATCTTGGCCATTTGCTC 380bp </w:t>
            </w:r>
          </w:p>
        </w:tc>
      </w:tr>
      <w:tr w:rsidR="00B921EA" w14:paraId="451AEE78" w14:textId="77777777">
        <w:trPr>
          <w:trHeight w:val="930"/>
        </w:trPr>
        <w:tc>
          <w:tcPr>
            <w:tcW w:w="3460" w:type="dxa"/>
            <w:vMerge w:val="restart"/>
            <w:tcBorders>
              <w:top w:val="nil"/>
              <w:left w:val="single" w:sz="4" w:space="0" w:color="000000"/>
              <w:bottom w:val="single" w:sz="4" w:space="0" w:color="000000"/>
              <w:right w:val="single" w:sz="4" w:space="0" w:color="000000"/>
            </w:tcBorders>
            <w:shd w:val="clear" w:color="auto" w:fill="auto"/>
          </w:tcPr>
          <w:p w14:paraId="451AEE74"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 xml:space="preserve">Blueberry shock virus    </w:t>
            </w:r>
          </w:p>
        </w:tc>
        <w:tc>
          <w:tcPr>
            <w:tcW w:w="1360" w:type="dxa"/>
            <w:vMerge w:val="restart"/>
            <w:tcBorders>
              <w:top w:val="nil"/>
              <w:left w:val="single" w:sz="4" w:space="0" w:color="000000"/>
              <w:bottom w:val="single" w:sz="4" w:space="0" w:color="000000"/>
              <w:right w:val="single" w:sz="4" w:space="0" w:color="000000"/>
            </w:tcBorders>
            <w:shd w:val="clear" w:color="auto" w:fill="auto"/>
          </w:tcPr>
          <w:p w14:paraId="451AEE75" w14:textId="77777777" w:rsidR="00B921EA" w:rsidRDefault="00BE3086">
            <w:pPr>
              <w:rPr>
                <w:rFonts w:ascii="Calibri" w:eastAsia="Calibri" w:hAnsi="Calibri" w:cs="Calibri"/>
                <w:color w:val="000000"/>
                <w:sz w:val="22"/>
                <w:szCs w:val="22"/>
              </w:rPr>
            </w:pPr>
            <w:proofErr w:type="gramStart"/>
            <w:r>
              <w:rPr>
                <w:rFonts w:ascii="Calibri" w:eastAsia="Calibri" w:hAnsi="Calibri" w:cs="Calibri"/>
                <w:color w:val="000000"/>
                <w:sz w:val="22"/>
                <w:szCs w:val="22"/>
              </w:rPr>
              <w:t>ELISA;</w:t>
            </w:r>
            <w:proofErr w:type="gramEnd"/>
            <w:r>
              <w:rPr>
                <w:rFonts w:ascii="Calibri" w:eastAsia="Calibri" w:hAnsi="Calibri" w:cs="Calibri"/>
                <w:color w:val="000000"/>
                <w:sz w:val="22"/>
                <w:szCs w:val="22"/>
              </w:rPr>
              <w:t xml:space="preserve"> </w:t>
            </w:r>
          </w:p>
          <w:p w14:paraId="451AEE76"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 xml:space="preserve">RT- PCR degenerate </w:t>
            </w:r>
            <w:proofErr w:type="spellStart"/>
            <w:r>
              <w:rPr>
                <w:rFonts w:ascii="Calibri" w:eastAsia="Calibri" w:hAnsi="Calibri" w:cs="Calibri"/>
                <w:color w:val="000000"/>
                <w:sz w:val="22"/>
                <w:szCs w:val="22"/>
              </w:rPr>
              <w:t>ilar</w:t>
            </w:r>
            <w:proofErr w:type="spellEnd"/>
            <w:r>
              <w:rPr>
                <w:rFonts w:ascii="Calibri" w:eastAsia="Calibri" w:hAnsi="Calibri" w:cs="Calibri"/>
                <w:color w:val="000000"/>
                <w:sz w:val="22"/>
                <w:szCs w:val="22"/>
              </w:rPr>
              <w:t xml:space="preserve"> primers</w:t>
            </w:r>
          </w:p>
        </w:tc>
        <w:tc>
          <w:tcPr>
            <w:tcW w:w="4810" w:type="dxa"/>
            <w:tcBorders>
              <w:top w:val="nil"/>
              <w:left w:val="nil"/>
              <w:bottom w:val="single" w:sz="4" w:space="0" w:color="000000"/>
              <w:right w:val="single" w:sz="4" w:space="0" w:color="000000"/>
            </w:tcBorders>
            <w:shd w:val="clear" w:color="auto" w:fill="auto"/>
            <w:vAlign w:val="center"/>
          </w:tcPr>
          <w:p w14:paraId="451AEE77"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(Ilar1F5) GCNGGWTGYGGDAARWCNAC</w:t>
            </w:r>
          </w:p>
        </w:tc>
      </w:tr>
      <w:tr w:rsidR="00B921EA" w14:paraId="451AEE7C" w14:textId="77777777">
        <w:trPr>
          <w:trHeight w:val="300"/>
        </w:trPr>
        <w:tc>
          <w:tcPr>
            <w:tcW w:w="3460" w:type="dxa"/>
            <w:vMerge/>
            <w:tcBorders>
              <w:top w:val="nil"/>
              <w:left w:val="single" w:sz="4" w:space="0" w:color="000000"/>
              <w:bottom w:val="single" w:sz="4" w:space="0" w:color="000000"/>
              <w:right w:val="single" w:sz="4" w:space="0" w:color="000000"/>
            </w:tcBorders>
            <w:shd w:val="clear" w:color="auto" w:fill="auto"/>
          </w:tcPr>
          <w:p w14:paraId="451AEE79" w14:textId="77777777" w:rsidR="00B921EA" w:rsidRDefault="00B921EA">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360" w:type="dxa"/>
            <w:vMerge/>
            <w:tcBorders>
              <w:top w:val="nil"/>
              <w:left w:val="single" w:sz="4" w:space="0" w:color="000000"/>
              <w:bottom w:val="single" w:sz="4" w:space="0" w:color="000000"/>
              <w:right w:val="single" w:sz="4" w:space="0" w:color="000000"/>
            </w:tcBorders>
            <w:shd w:val="clear" w:color="auto" w:fill="auto"/>
          </w:tcPr>
          <w:p w14:paraId="451AEE7A" w14:textId="77777777" w:rsidR="00B921EA" w:rsidRDefault="00B921EA">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4810" w:type="dxa"/>
            <w:tcBorders>
              <w:top w:val="nil"/>
              <w:left w:val="nil"/>
              <w:bottom w:val="single" w:sz="4" w:space="0" w:color="000000"/>
              <w:right w:val="single" w:sz="4" w:space="0" w:color="000000"/>
            </w:tcBorders>
            <w:shd w:val="clear" w:color="auto" w:fill="auto"/>
            <w:vAlign w:val="center"/>
          </w:tcPr>
          <w:p w14:paraId="451AEE7B"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 xml:space="preserve">(Ilar2R9) GGTTGRTTRTGHGGRAAYTT ~ 380bp     </w:t>
            </w:r>
          </w:p>
        </w:tc>
      </w:tr>
      <w:tr w:rsidR="00B921EA" w14:paraId="451AEE81" w14:textId="77777777">
        <w:trPr>
          <w:trHeight w:val="660"/>
        </w:trPr>
        <w:tc>
          <w:tcPr>
            <w:tcW w:w="3460" w:type="dxa"/>
            <w:vMerge w:val="restart"/>
            <w:tcBorders>
              <w:top w:val="nil"/>
              <w:left w:val="single" w:sz="4" w:space="0" w:color="000000"/>
              <w:bottom w:val="single" w:sz="4" w:space="0" w:color="000000"/>
              <w:right w:val="single" w:sz="4" w:space="0" w:color="000000"/>
            </w:tcBorders>
            <w:shd w:val="clear" w:color="auto" w:fill="auto"/>
          </w:tcPr>
          <w:p w14:paraId="451AEE7D"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 xml:space="preserve">Tobacco streak virus                    </w:t>
            </w:r>
          </w:p>
        </w:tc>
        <w:tc>
          <w:tcPr>
            <w:tcW w:w="1360" w:type="dxa"/>
            <w:vMerge w:val="restart"/>
            <w:tcBorders>
              <w:top w:val="nil"/>
              <w:left w:val="single" w:sz="4" w:space="0" w:color="000000"/>
              <w:bottom w:val="single" w:sz="4" w:space="0" w:color="000000"/>
              <w:right w:val="single" w:sz="4" w:space="0" w:color="000000"/>
            </w:tcBorders>
            <w:shd w:val="clear" w:color="auto" w:fill="auto"/>
            <w:vAlign w:val="center"/>
          </w:tcPr>
          <w:p w14:paraId="451AEE7E" w14:textId="77777777" w:rsidR="00B921EA" w:rsidRDefault="00BE3086">
            <w:pPr>
              <w:rPr>
                <w:rFonts w:ascii="Calibri" w:eastAsia="Calibri" w:hAnsi="Calibri" w:cs="Calibri"/>
                <w:color w:val="000000"/>
              </w:rPr>
            </w:pPr>
            <w:r>
              <w:rPr>
                <w:rFonts w:ascii="Calibri" w:eastAsia="Calibri" w:hAnsi="Calibri" w:cs="Calibri"/>
                <w:color w:val="000000"/>
              </w:rPr>
              <w:t xml:space="preserve">ELISA, </w:t>
            </w:r>
          </w:p>
          <w:p w14:paraId="451AEE7F" w14:textId="77777777" w:rsidR="00B921EA" w:rsidRDefault="00BE3086">
            <w:pPr>
              <w:rPr>
                <w:rFonts w:ascii="Calibri" w:eastAsia="Calibri" w:hAnsi="Calibri" w:cs="Calibri"/>
                <w:color w:val="000000"/>
                <w:sz w:val="22"/>
                <w:szCs w:val="22"/>
              </w:rPr>
            </w:pPr>
            <w:r>
              <w:rPr>
                <w:rFonts w:ascii="Calibri" w:eastAsia="Calibri" w:hAnsi="Calibri" w:cs="Calibri"/>
                <w:color w:val="000000"/>
              </w:rPr>
              <w:t>RT-PCR</w:t>
            </w:r>
          </w:p>
        </w:tc>
        <w:tc>
          <w:tcPr>
            <w:tcW w:w="4810" w:type="dxa"/>
            <w:tcBorders>
              <w:top w:val="nil"/>
              <w:left w:val="nil"/>
              <w:bottom w:val="single" w:sz="4" w:space="0" w:color="000000"/>
              <w:right w:val="single" w:sz="4" w:space="0" w:color="000000"/>
            </w:tcBorders>
            <w:shd w:val="clear" w:color="auto" w:fill="auto"/>
            <w:vAlign w:val="center"/>
          </w:tcPr>
          <w:p w14:paraId="451AEE80"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(TSV CP F) ACGAGTATTAAGTGGATGAATTCT</w:t>
            </w:r>
          </w:p>
        </w:tc>
      </w:tr>
      <w:tr w:rsidR="00B921EA" w14:paraId="451AEE85" w14:textId="77777777">
        <w:trPr>
          <w:trHeight w:val="300"/>
        </w:trPr>
        <w:tc>
          <w:tcPr>
            <w:tcW w:w="3460" w:type="dxa"/>
            <w:vMerge/>
            <w:tcBorders>
              <w:top w:val="nil"/>
              <w:left w:val="single" w:sz="4" w:space="0" w:color="000000"/>
              <w:bottom w:val="single" w:sz="4" w:space="0" w:color="000000"/>
              <w:right w:val="single" w:sz="4" w:space="0" w:color="000000"/>
            </w:tcBorders>
            <w:shd w:val="clear" w:color="auto" w:fill="auto"/>
          </w:tcPr>
          <w:p w14:paraId="451AEE82" w14:textId="77777777" w:rsidR="00B921EA" w:rsidRDefault="00B921EA">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360" w:type="dxa"/>
            <w:vMerge/>
            <w:tcBorders>
              <w:top w:val="nil"/>
              <w:left w:val="single" w:sz="4" w:space="0" w:color="000000"/>
              <w:bottom w:val="single" w:sz="4" w:space="0" w:color="000000"/>
              <w:right w:val="single" w:sz="4" w:space="0" w:color="000000"/>
            </w:tcBorders>
            <w:shd w:val="clear" w:color="auto" w:fill="auto"/>
            <w:vAlign w:val="center"/>
          </w:tcPr>
          <w:p w14:paraId="451AEE83" w14:textId="77777777" w:rsidR="00B921EA" w:rsidRDefault="00B921EA">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4810" w:type="dxa"/>
            <w:tcBorders>
              <w:top w:val="nil"/>
              <w:left w:val="nil"/>
              <w:bottom w:val="single" w:sz="4" w:space="0" w:color="000000"/>
              <w:right w:val="single" w:sz="4" w:space="0" w:color="000000"/>
            </w:tcBorders>
            <w:shd w:val="clear" w:color="auto" w:fill="auto"/>
            <w:vAlign w:val="center"/>
          </w:tcPr>
          <w:p w14:paraId="451AEE84" w14:textId="77777777" w:rsidR="00B921EA" w:rsidRDefault="00BE3086">
            <w:pPr>
              <w:rPr>
                <w:rFonts w:ascii="Calibri" w:eastAsia="Calibri" w:hAnsi="Calibri" w:cs="Calibri"/>
                <w:color w:val="000000"/>
                <w:sz w:val="22"/>
                <w:szCs w:val="22"/>
              </w:rPr>
            </w:pPr>
            <w:r>
              <w:rPr>
                <w:rFonts w:ascii="Calibri" w:eastAsia="Calibri" w:hAnsi="Calibri" w:cs="Calibri"/>
                <w:color w:val="000000"/>
                <w:sz w:val="22"/>
                <w:szCs w:val="22"/>
              </w:rPr>
              <w:t>(TSV CP R) ACTTACAATACGTCGAGGTGTG 872bp</w:t>
            </w:r>
          </w:p>
        </w:tc>
      </w:tr>
    </w:tbl>
    <w:p w14:paraId="451AEE86" w14:textId="77777777" w:rsidR="00B921EA" w:rsidRDefault="00B921EA"/>
    <w:sectPr w:rsidR="00B921EA">
      <w:footerReference w:type="default" r:id="rId8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AEEA4" w14:textId="77777777" w:rsidR="00000000" w:rsidRDefault="00BE3086">
      <w:r>
        <w:separator/>
      </w:r>
    </w:p>
  </w:endnote>
  <w:endnote w:type="continuationSeparator" w:id="0">
    <w:p w14:paraId="451AEEA6" w14:textId="77777777" w:rsidR="00000000" w:rsidRDefault="00BE3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AEE9E" w14:textId="71E4D5EC" w:rsidR="00B921EA" w:rsidRDefault="00BE3086">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A23477">
      <w:rPr>
        <w:noProof/>
        <w:color w:val="000000"/>
      </w:rPr>
      <w:t>1</w:t>
    </w:r>
    <w:r>
      <w:rPr>
        <w:color w:val="000000"/>
      </w:rPr>
      <w:fldChar w:fldCharType="end"/>
    </w:r>
  </w:p>
  <w:p w14:paraId="451AEE9F" w14:textId="77777777" w:rsidR="00B921EA" w:rsidRDefault="00B921E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AEEA0" w14:textId="77777777" w:rsidR="00000000" w:rsidRDefault="00BE3086">
      <w:r>
        <w:separator/>
      </w:r>
    </w:p>
  </w:footnote>
  <w:footnote w:type="continuationSeparator" w:id="0">
    <w:p w14:paraId="451AEEA2" w14:textId="77777777" w:rsidR="00000000" w:rsidRDefault="00BE30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37136"/>
    <w:multiLevelType w:val="multilevel"/>
    <w:tmpl w:val="FD4A8CBA"/>
    <w:lvl w:ilvl="0">
      <w:start w:val="1"/>
      <w:numFmt w:val="decimal"/>
      <w:lvlText w:val="%1"/>
      <w:lvlJc w:val="left"/>
      <w:pPr>
        <w:ind w:left="720" w:hanging="7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D8E17B0"/>
    <w:multiLevelType w:val="multilevel"/>
    <w:tmpl w:val="C818E4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4EC7BA6"/>
    <w:multiLevelType w:val="multilevel"/>
    <w:tmpl w:val="B8426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BD72D6"/>
    <w:multiLevelType w:val="multilevel"/>
    <w:tmpl w:val="7EE0C6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2C775F4"/>
    <w:multiLevelType w:val="multilevel"/>
    <w:tmpl w:val="AB0220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59C34B65"/>
    <w:multiLevelType w:val="multilevel"/>
    <w:tmpl w:val="2E62D1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3364F9B"/>
    <w:multiLevelType w:val="multilevel"/>
    <w:tmpl w:val="49CCAA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5AE13CB"/>
    <w:multiLevelType w:val="multilevel"/>
    <w:tmpl w:val="FF8A03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0007A43"/>
    <w:multiLevelType w:val="multilevel"/>
    <w:tmpl w:val="5E50B7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4953AF6"/>
    <w:multiLevelType w:val="multilevel"/>
    <w:tmpl w:val="42088D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08050943">
    <w:abstractNumId w:val="2"/>
  </w:num>
  <w:num w:numId="2" w16cid:durableId="410395996">
    <w:abstractNumId w:val="9"/>
  </w:num>
  <w:num w:numId="3" w16cid:durableId="1751661722">
    <w:abstractNumId w:val="4"/>
  </w:num>
  <w:num w:numId="4" w16cid:durableId="793713203">
    <w:abstractNumId w:val="5"/>
  </w:num>
  <w:num w:numId="5" w16cid:durableId="1543977699">
    <w:abstractNumId w:val="3"/>
  </w:num>
  <w:num w:numId="6" w16cid:durableId="1206407425">
    <w:abstractNumId w:val="1"/>
  </w:num>
  <w:num w:numId="7" w16cid:durableId="24214590">
    <w:abstractNumId w:val="8"/>
  </w:num>
  <w:num w:numId="8" w16cid:durableId="488061851">
    <w:abstractNumId w:val="7"/>
  </w:num>
  <w:num w:numId="9" w16cid:durableId="1300719594">
    <w:abstractNumId w:val="6"/>
  </w:num>
  <w:num w:numId="10" w16cid:durableId="455098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1EA"/>
    <w:rsid w:val="00735616"/>
    <w:rsid w:val="0074041A"/>
    <w:rsid w:val="00A23477"/>
    <w:rsid w:val="00B921EA"/>
    <w:rsid w:val="00BE3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AEC6C"/>
  <w15:docId w15:val="{44C368C1-FE59-434A-8BC1-BA98F36A4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2FF"/>
  </w:style>
  <w:style w:type="paragraph" w:styleId="Heading1">
    <w:name w:val="heading 1"/>
    <w:basedOn w:val="Normal"/>
    <w:next w:val="Normal"/>
    <w:link w:val="Heading1Char"/>
    <w:uiPriority w:val="9"/>
    <w:qFormat/>
    <w:rsid w:val="00023D3F"/>
    <w:pPr>
      <w:outlineLvl w:val="0"/>
    </w:pPr>
    <w:rPr>
      <w:b/>
    </w:rPr>
  </w:style>
  <w:style w:type="paragraph" w:styleId="Heading2">
    <w:name w:val="heading 2"/>
    <w:basedOn w:val="Normal"/>
    <w:next w:val="Normal"/>
    <w:link w:val="Heading2Char"/>
    <w:uiPriority w:val="9"/>
    <w:semiHidden/>
    <w:unhideWhenUsed/>
    <w:qFormat/>
    <w:rsid w:val="00A142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42F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142F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142F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142F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142F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42FF"/>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142FF"/>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142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23D3F"/>
    <w:rPr>
      <w:b/>
      <w:szCs w:val="24"/>
    </w:rPr>
  </w:style>
  <w:style w:type="character" w:customStyle="1" w:styleId="Heading2Char">
    <w:name w:val="Heading 2 Char"/>
    <w:basedOn w:val="DefaultParagraphFont"/>
    <w:link w:val="Heading2"/>
    <w:uiPriority w:val="9"/>
    <w:semiHidden/>
    <w:rsid w:val="00A142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42F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142F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142F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142F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142F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142F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142F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142FF"/>
    <w:rPr>
      <w:b/>
      <w:bCs/>
      <w:color w:val="4F81BD" w:themeColor="accent1"/>
      <w:sz w:val="18"/>
      <w:szCs w:val="18"/>
    </w:rPr>
  </w:style>
  <w:style w:type="character" w:customStyle="1" w:styleId="TitleChar">
    <w:name w:val="Title Char"/>
    <w:basedOn w:val="DefaultParagraphFont"/>
    <w:link w:val="Title"/>
    <w:uiPriority w:val="10"/>
    <w:rsid w:val="00A142F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Pr>
      <w:rFonts w:ascii="Cambria" w:eastAsia="Cambria" w:hAnsi="Cambria" w:cs="Cambria"/>
      <w:i/>
      <w:color w:val="4F81BD"/>
    </w:rPr>
  </w:style>
  <w:style w:type="character" w:customStyle="1" w:styleId="SubtitleChar">
    <w:name w:val="Subtitle Char"/>
    <w:basedOn w:val="DefaultParagraphFont"/>
    <w:link w:val="Subtitle"/>
    <w:uiPriority w:val="11"/>
    <w:rsid w:val="00A142F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142FF"/>
    <w:rPr>
      <w:b/>
      <w:bCs/>
    </w:rPr>
  </w:style>
  <w:style w:type="character" w:styleId="Emphasis">
    <w:name w:val="Emphasis"/>
    <w:uiPriority w:val="20"/>
    <w:qFormat/>
    <w:rsid w:val="00A142FF"/>
    <w:rPr>
      <w:i/>
      <w:iCs/>
    </w:rPr>
  </w:style>
  <w:style w:type="paragraph" w:styleId="NoSpacing">
    <w:name w:val="No Spacing"/>
    <w:basedOn w:val="Normal"/>
    <w:link w:val="NoSpacingChar"/>
    <w:uiPriority w:val="1"/>
    <w:qFormat/>
    <w:rsid w:val="00A142FF"/>
  </w:style>
  <w:style w:type="character" w:customStyle="1" w:styleId="NoSpacingChar">
    <w:name w:val="No Spacing Char"/>
    <w:basedOn w:val="DefaultParagraphFont"/>
    <w:link w:val="NoSpacing"/>
    <w:uiPriority w:val="1"/>
    <w:rsid w:val="00A142FF"/>
  </w:style>
  <w:style w:type="paragraph" w:styleId="ListParagraph">
    <w:name w:val="List Paragraph"/>
    <w:basedOn w:val="Normal"/>
    <w:uiPriority w:val="34"/>
    <w:qFormat/>
    <w:rsid w:val="00A142FF"/>
    <w:pPr>
      <w:ind w:left="720"/>
      <w:contextualSpacing/>
    </w:pPr>
  </w:style>
  <w:style w:type="paragraph" w:styleId="Quote">
    <w:name w:val="Quote"/>
    <w:basedOn w:val="Normal"/>
    <w:next w:val="Normal"/>
    <w:link w:val="QuoteChar"/>
    <w:uiPriority w:val="29"/>
    <w:qFormat/>
    <w:rsid w:val="00A142FF"/>
    <w:rPr>
      <w:i/>
      <w:iCs/>
      <w:color w:val="000000" w:themeColor="text1"/>
    </w:rPr>
  </w:style>
  <w:style w:type="character" w:customStyle="1" w:styleId="QuoteChar">
    <w:name w:val="Quote Char"/>
    <w:basedOn w:val="DefaultParagraphFont"/>
    <w:link w:val="Quote"/>
    <w:uiPriority w:val="29"/>
    <w:rsid w:val="00A142FF"/>
    <w:rPr>
      <w:i/>
      <w:iCs/>
      <w:color w:val="000000" w:themeColor="text1"/>
    </w:rPr>
  </w:style>
  <w:style w:type="paragraph" w:styleId="IntenseQuote">
    <w:name w:val="Intense Quote"/>
    <w:basedOn w:val="Normal"/>
    <w:next w:val="Normal"/>
    <w:link w:val="IntenseQuoteChar"/>
    <w:uiPriority w:val="30"/>
    <w:qFormat/>
    <w:rsid w:val="00A142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42FF"/>
    <w:rPr>
      <w:b/>
      <w:bCs/>
      <w:i/>
      <w:iCs/>
      <w:color w:val="4F81BD" w:themeColor="accent1"/>
    </w:rPr>
  </w:style>
  <w:style w:type="character" w:styleId="SubtleEmphasis">
    <w:name w:val="Subtle Emphasis"/>
    <w:uiPriority w:val="19"/>
    <w:qFormat/>
    <w:rsid w:val="00A142FF"/>
    <w:rPr>
      <w:i/>
      <w:iCs/>
      <w:color w:val="808080" w:themeColor="text1" w:themeTint="7F"/>
    </w:rPr>
  </w:style>
  <w:style w:type="character" w:styleId="IntenseEmphasis">
    <w:name w:val="Intense Emphasis"/>
    <w:uiPriority w:val="21"/>
    <w:qFormat/>
    <w:rsid w:val="00A142FF"/>
    <w:rPr>
      <w:b/>
      <w:bCs/>
      <w:i/>
      <w:iCs/>
      <w:color w:val="4F81BD" w:themeColor="accent1"/>
    </w:rPr>
  </w:style>
  <w:style w:type="character" w:styleId="SubtleReference">
    <w:name w:val="Subtle Reference"/>
    <w:uiPriority w:val="31"/>
    <w:qFormat/>
    <w:rsid w:val="00A142FF"/>
    <w:rPr>
      <w:smallCaps/>
      <w:color w:val="C0504D" w:themeColor="accent2"/>
      <w:u w:val="single"/>
    </w:rPr>
  </w:style>
  <w:style w:type="character" w:styleId="IntenseReference">
    <w:name w:val="Intense Reference"/>
    <w:basedOn w:val="DefaultParagraphFont"/>
    <w:uiPriority w:val="32"/>
    <w:qFormat/>
    <w:rsid w:val="00A142FF"/>
    <w:rPr>
      <w:b/>
      <w:bCs/>
      <w:smallCaps/>
      <w:color w:val="C0504D" w:themeColor="accent2"/>
      <w:spacing w:val="5"/>
      <w:u w:val="single"/>
    </w:rPr>
  </w:style>
  <w:style w:type="character" w:styleId="BookTitle">
    <w:name w:val="Book Title"/>
    <w:basedOn w:val="DefaultParagraphFont"/>
    <w:uiPriority w:val="33"/>
    <w:qFormat/>
    <w:rsid w:val="00A142FF"/>
    <w:rPr>
      <w:b/>
      <w:bCs/>
      <w:smallCaps/>
      <w:spacing w:val="5"/>
    </w:rPr>
  </w:style>
  <w:style w:type="paragraph" w:styleId="TOCHeading">
    <w:name w:val="TOC Heading"/>
    <w:basedOn w:val="Heading1"/>
    <w:next w:val="Normal"/>
    <w:uiPriority w:val="39"/>
    <w:semiHidden/>
    <w:unhideWhenUsed/>
    <w:qFormat/>
    <w:rsid w:val="00A142FF"/>
    <w:pPr>
      <w:outlineLvl w:val="9"/>
    </w:pPr>
  </w:style>
  <w:style w:type="paragraph" w:styleId="NormalWeb">
    <w:name w:val="Normal (Web)"/>
    <w:basedOn w:val="Normal"/>
    <w:uiPriority w:val="99"/>
    <w:unhideWhenUsed/>
    <w:rsid w:val="009966C9"/>
    <w:pPr>
      <w:spacing w:before="100" w:beforeAutospacing="1"/>
    </w:pPr>
  </w:style>
  <w:style w:type="paragraph" w:styleId="PlainText">
    <w:name w:val="Plain Text"/>
    <w:basedOn w:val="Normal"/>
    <w:link w:val="PlainTextChar"/>
    <w:uiPriority w:val="99"/>
    <w:rsid w:val="00D47537"/>
    <w:rPr>
      <w:rFonts w:ascii="Consolas" w:eastAsia="Calibri" w:hAnsi="Consolas" w:cs="Consolas"/>
      <w:sz w:val="21"/>
      <w:szCs w:val="21"/>
    </w:rPr>
  </w:style>
  <w:style w:type="character" w:customStyle="1" w:styleId="PlainTextChar">
    <w:name w:val="Plain Text Char"/>
    <w:basedOn w:val="DefaultParagraphFont"/>
    <w:link w:val="PlainText"/>
    <w:uiPriority w:val="99"/>
    <w:rsid w:val="00D47537"/>
    <w:rPr>
      <w:rFonts w:ascii="Consolas" w:eastAsia="Calibri" w:hAnsi="Consolas" w:cs="Consolas"/>
      <w:sz w:val="21"/>
      <w:szCs w:val="21"/>
    </w:rPr>
  </w:style>
  <w:style w:type="paragraph" w:styleId="BalloonText">
    <w:name w:val="Balloon Text"/>
    <w:basedOn w:val="Normal"/>
    <w:link w:val="BalloonTextChar"/>
    <w:uiPriority w:val="99"/>
    <w:semiHidden/>
    <w:unhideWhenUsed/>
    <w:rsid w:val="008E3D1F"/>
    <w:rPr>
      <w:rFonts w:ascii="Tahoma" w:hAnsi="Tahoma" w:cs="Tahoma"/>
      <w:sz w:val="16"/>
      <w:szCs w:val="16"/>
    </w:rPr>
  </w:style>
  <w:style w:type="character" w:customStyle="1" w:styleId="BalloonTextChar">
    <w:name w:val="Balloon Text Char"/>
    <w:basedOn w:val="DefaultParagraphFont"/>
    <w:link w:val="BalloonText"/>
    <w:uiPriority w:val="99"/>
    <w:semiHidden/>
    <w:rsid w:val="008E3D1F"/>
    <w:rPr>
      <w:rFonts w:ascii="Tahoma" w:hAnsi="Tahoma" w:cs="Tahoma"/>
      <w:sz w:val="16"/>
      <w:szCs w:val="16"/>
    </w:rPr>
  </w:style>
  <w:style w:type="paragraph" w:customStyle="1" w:styleId="Default">
    <w:name w:val="Default"/>
    <w:rsid w:val="008E3D1F"/>
    <w:pPr>
      <w:autoSpaceDE w:val="0"/>
      <w:autoSpaceDN w:val="0"/>
      <w:adjustRightInd w:val="0"/>
    </w:pPr>
    <w:rPr>
      <w:rFonts w:ascii="Calibri" w:eastAsia="Calibri" w:hAnsi="Calibri" w:cs="Calibri"/>
      <w:color w:val="000000"/>
    </w:rPr>
  </w:style>
  <w:style w:type="character" w:styleId="Hyperlink">
    <w:name w:val="Hyperlink"/>
    <w:basedOn w:val="DefaultParagraphFont"/>
    <w:uiPriority w:val="99"/>
    <w:unhideWhenUsed/>
    <w:rsid w:val="00514E59"/>
    <w:rPr>
      <w:color w:val="0000FF" w:themeColor="hyperlink"/>
      <w:u w:val="single"/>
    </w:rPr>
  </w:style>
  <w:style w:type="table" w:styleId="TableGrid">
    <w:name w:val="Table Grid"/>
    <w:basedOn w:val="TableNormal"/>
    <w:uiPriority w:val="59"/>
    <w:rsid w:val="00D1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group">
    <w:name w:val="authorgroup"/>
    <w:basedOn w:val="Normal"/>
    <w:uiPriority w:val="99"/>
    <w:rsid w:val="00AC50D5"/>
    <w:pPr>
      <w:spacing w:before="100" w:beforeAutospacing="1"/>
    </w:pPr>
    <w:rPr>
      <w:b/>
      <w:bCs/>
    </w:rPr>
  </w:style>
  <w:style w:type="character" w:customStyle="1" w:styleId="st1">
    <w:name w:val="st1"/>
    <w:basedOn w:val="DefaultParagraphFont"/>
    <w:rsid w:val="00851000"/>
  </w:style>
  <w:style w:type="paragraph" w:styleId="Header">
    <w:name w:val="header"/>
    <w:basedOn w:val="Normal"/>
    <w:link w:val="HeaderChar"/>
    <w:uiPriority w:val="99"/>
    <w:unhideWhenUsed/>
    <w:rsid w:val="00510A06"/>
    <w:pPr>
      <w:tabs>
        <w:tab w:val="center" w:pos="4680"/>
        <w:tab w:val="right" w:pos="9360"/>
      </w:tabs>
    </w:pPr>
  </w:style>
  <w:style w:type="character" w:customStyle="1" w:styleId="HeaderChar">
    <w:name w:val="Header Char"/>
    <w:basedOn w:val="DefaultParagraphFont"/>
    <w:link w:val="Header"/>
    <w:uiPriority w:val="99"/>
    <w:rsid w:val="00510A06"/>
  </w:style>
  <w:style w:type="paragraph" w:styleId="Footer">
    <w:name w:val="footer"/>
    <w:basedOn w:val="Normal"/>
    <w:link w:val="FooterChar"/>
    <w:uiPriority w:val="99"/>
    <w:unhideWhenUsed/>
    <w:rsid w:val="00510A06"/>
    <w:pPr>
      <w:tabs>
        <w:tab w:val="center" w:pos="4680"/>
        <w:tab w:val="right" w:pos="9360"/>
      </w:tabs>
    </w:pPr>
  </w:style>
  <w:style w:type="character" w:customStyle="1" w:styleId="FooterChar">
    <w:name w:val="Footer Char"/>
    <w:basedOn w:val="DefaultParagraphFont"/>
    <w:link w:val="Footer"/>
    <w:uiPriority w:val="99"/>
    <w:rsid w:val="00510A06"/>
  </w:style>
  <w:style w:type="character" w:customStyle="1" w:styleId="apple-converted-space">
    <w:name w:val="apple-converted-space"/>
    <w:basedOn w:val="DefaultParagraphFont"/>
    <w:rsid w:val="00757899"/>
  </w:style>
  <w:style w:type="character" w:customStyle="1" w:styleId="popup">
    <w:name w:val="popup"/>
    <w:basedOn w:val="DefaultParagraphFont"/>
    <w:rsid w:val="00757899"/>
  </w:style>
  <w:style w:type="character" w:styleId="HTMLCite">
    <w:name w:val="HTML Cite"/>
    <w:basedOn w:val="DefaultParagraphFont"/>
    <w:uiPriority w:val="99"/>
    <w:semiHidden/>
    <w:unhideWhenUsed/>
    <w:rsid w:val="006D7AFF"/>
    <w:rPr>
      <w:i/>
      <w:iCs/>
    </w:rPr>
  </w:style>
  <w:style w:type="character" w:customStyle="1" w:styleId="cit-ed">
    <w:name w:val="cit-ed"/>
    <w:basedOn w:val="DefaultParagraphFont"/>
    <w:rsid w:val="006D7AFF"/>
  </w:style>
  <w:style w:type="character" w:customStyle="1" w:styleId="cit-name-surname">
    <w:name w:val="cit-name-surname"/>
    <w:basedOn w:val="DefaultParagraphFont"/>
    <w:rsid w:val="006D7AFF"/>
  </w:style>
  <w:style w:type="character" w:customStyle="1" w:styleId="cit-name-given-names">
    <w:name w:val="cit-name-given-names"/>
    <w:basedOn w:val="DefaultParagraphFont"/>
    <w:rsid w:val="006D7AFF"/>
  </w:style>
  <w:style w:type="character" w:customStyle="1" w:styleId="cit-auth2">
    <w:name w:val="cit-auth2"/>
    <w:basedOn w:val="DefaultParagraphFont"/>
    <w:rsid w:val="006D7AFF"/>
  </w:style>
  <w:style w:type="character" w:customStyle="1" w:styleId="cit-pub-date">
    <w:name w:val="cit-pub-date"/>
    <w:basedOn w:val="DefaultParagraphFont"/>
    <w:rsid w:val="006D7AFF"/>
  </w:style>
  <w:style w:type="character" w:customStyle="1" w:styleId="cit-source">
    <w:name w:val="cit-source"/>
    <w:basedOn w:val="DefaultParagraphFont"/>
    <w:rsid w:val="006D7AFF"/>
  </w:style>
  <w:style w:type="character" w:customStyle="1" w:styleId="cit-article-title">
    <w:name w:val="cit-article-title"/>
    <w:basedOn w:val="DefaultParagraphFont"/>
    <w:rsid w:val="006D7AFF"/>
  </w:style>
  <w:style w:type="character" w:customStyle="1" w:styleId="cit-publ-name">
    <w:name w:val="cit-publ-name"/>
    <w:basedOn w:val="DefaultParagraphFont"/>
    <w:rsid w:val="006D7AFF"/>
  </w:style>
  <w:style w:type="character" w:customStyle="1" w:styleId="cit-publ-loc">
    <w:name w:val="cit-publ-loc"/>
    <w:basedOn w:val="DefaultParagraphFont"/>
    <w:rsid w:val="006D7AFF"/>
  </w:style>
  <w:style w:type="character" w:customStyle="1" w:styleId="cit-fpage">
    <w:name w:val="cit-fpage"/>
    <w:basedOn w:val="DefaultParagraphFont"/>
    <w:rsid w:val="006D7AFF"/>
  </w:style>
  <w:style w:type="character" w:customStyle="1" w:styleId="cit-lpage">
    <w:name w:val="cit-lpage"/>
    <w:basedOn w:val="DefaultParagraphFont"/>
    <w:rsid w:val="006D7AFF"/>
  </w:style>
  <w:style w:type="character" w:styleId="CommentReference">
    <w:name w:val="annotation reference"/>
    <w:basedOn w:val="DefaultParagraphFont"/>
    <w:uiPriority w:val="99"/>
    <w:semiHidden/>
    <w:unhideWhenUsed/>
    <w:rsid w:val="0013347F"/>
    <w:rPr>
      <w:sz w:val="16"/>
      <w:szCs w:val="16"/>
    </w:rPr>
  </w:style>
  <w:style w:type="paragraph" w:styleId="CommentText">
    <w:name w:val="annotation text"/>
    <w:basedOn w:val="Normal"/>
    <w:link w:val="CommentTextChar"/>
    <w:uiPriority w:val="99"/>
    <w:unhideWhenUsed/>
    <w:rsid w:val="0013347F"/>
    <w:rPr>
      <w:sz w:val="20"/>
    </w:rPr>
  </w:style>
  <w:style w:type="character" w:customStyle="1" w:styleId="CommentTextChar">
    <w:name w:val="Comment Text Char"/>
    <w:basedOn w:val="DefaultParagraphFont"/>
    <w:link w:val="CommentText"/>
    <w:uiPriority w:val="99"/>
    <w:rsid w:val="0013347F"/>
    <w:rPr>
      <w:sz w:val="20"/>
    </w:rPr>
  </w:style>
  <w:style w:type="paragraph" w:styleId="CommentSubject">
    <w:name w:val="annotation subject"/>
    <w:basedOn w:val="CommentText"/>
    <w:next w:val="CommentText"/>
    <w:link w:val="CommentSubjectChar"/>
    <w:uiPriority w:val="99"/>
    <w:semiHidden/>
    <w:unhideWhenUsed/>
    <w:rsid w:val="0013347F"/>
    <w:rPr>
      <w:b/>
      <w:bCs/>
    </w:rPr>
  </w:style>
  <w:style w:type="character" w:customStyle="1" w:styleId="CommentSubjectChar">
    <w:name w:val="Comment Subject Char"/>
    <w:basedOn w:val="CommentTextChar"/>
    <w:link w:val="CommentSubject"/>
    <w:uiPriority w:val="99"/>
    <w:semiHidden/>
    <w:rsid w:val="0013347F"/>
    <w:rPr>
      <w:b/>
      <w:bCs/>
      <w:sz w:val="20"/>
    </w:rPr>
  </w:style>
  <w:style w:type="character" w:styleId="FollowedHyperlink">
    <w:name w:val="FollowedHyperlink"/>
    <w:basedOn w:val="DefaultParagraphFont"/>
    <w:uiPriority w:val="99"/>
    <w:semiHidden/>
    <w:unhideWhenUsed/>
    <w:rsid w:val="00AB7F78"/>
    <w:rPr>
      <w:color w:val="800080"/>
      <w:u w:val="single"/>
    </w:rPr>
  </w:style>
  <w:style w:type="paragraph" w:customStyle="1" w:styleId="xl63">
    <w:name w:val="xl63"/>
    <w:basedOn w:val="Normal"/>
    <w:rsid w:val="00AB7F78"/>
    <w:pPr>
      <w:pBdr>
        <w:top w:val="single" w:sz="4" w:space="0" w:color="auto"/>
        <w:left w:val="single" w:sz="4" w:space="0" w:color="auto"/>
        <w:bottom w:val="single" w:sz="4" w:space="0" w:color="auto"/>
        <w:right w:val="single" w:sz="4" w:space="0" w:color="auto"/>
      </w:pBdr>
      <w:spacing w:before="100" w:beforeAutospacing="1"/>
    </w:pPr>
  </w:style>
  <w:style w:type="paragraph" w:customStyle="1" w:styleId="xl64">
    <w:name w:val="xl64"/>
    <w:basedOn w:val="Normal"/>
    <w:rsid w:val="00AB7F78"/>
    <w:pPr>
      <w:pBdr>
        <w:top w:val="single" w:sz="4" w:space="0" w:color="auto"/>
        <w:left w:val="single" w:sz="4" w:space="0" w:color="auto"/>
        <w:bottom w:val="single" w:sz="4" w:space="0" w:color="auto"/>
        <w:right w:val="single" w:sz="4" w:space="0" w:color="auto"/>
      </w:pBdr>
      <w:shd w:val="clear" w:color="000000" w:fill="F2F2F2"/>
      <w:spacing w:before="100" w:beforeAutospacing="1"/>
      <w:jc w:val="center"/>
      <w:textAlignment w:val="center"/>
    </w:pPr>
    <w:rPr>
      <w:b/>
      <w:bCs/>
    </w:rPr>
  </w:style>
  <w:style w:type="character" w:customStyle="1" w:styleId="cit-vol2">
    <w:name w:val="cit-vol2"/>
    <w:basedOn w:val="DefaultParagraphFont"/>
    <w:rsid w:val="00DC3F51"/>
  </w:style>
  <w:style w:type="character" w:customStyle="1" w:styleId="cit-sep2">
    <w:name w:val="cit-sep2"/>
    <w:basedOn w:val="DefaultParagraphFont"/>
    <w:rsid w:val="00DC3F51"/>
  </w:style>
  <w:style w:type="character" w:customStyle="1" w:styleId="cit-first-page">
    <w:name w:val="cit-first-page"/>
    <w:basedOn w:val="DefaultParagraphFont"/>
    <w:rsid w:val="00DC3F51"/>
  </w:style>
  <w:style w:type="character" w:customStyle="1" w:styleId="cit-last-page2">
    <w:name w:val="cit-last-page2"/>
    <w:basedOn w:val="DefaultParagraphFont"/>
    <w:rsid w:val="00DC3F51"/>
  </w:style>
  <w:style w:type="paragraph" w:customStyle="1" w:styleId="whitebackgroundcolor">
    <w:name w:val="whitebackgroundcolor"/>
    <w:basedOn w:val="Normal"/>
    <w:rsid w:val="00B7680C"/>
    <w:pPr>
      <w:shd w:val="clear" w:color="auto" w:fill="FFFFFF"/>
      <w:spacing w:before="100" w:beforeAutospacing="1"/>
    </w:pPr>
  </w:style>
  <w:style w:type="paragraph" w:customStyle="1" w:styleId="greybackgroundcolor">
    <w:name w:val="greybackgroundcolor"/>
    <w:basedOn w:val="Normal"/>
    <w:rsid w:val="00B7680C"/>
    <w:pPr>
      <w:shd w:val="clear" w:color="auto" w:fill="3F3E3E"/>
      <w:spacing w:before="100" w:beforeAutospacing="1"/>
    </w:pPr>
  </w:style>
  <w:style w:type="paragraph" w:customStyle="1" w:styleId="palegreenbackgroundcolor">
    <w:name w:val="palegreenbackgroundcolor"/>
    <w:basedOn w:val="Normal"/>
    <w:rsid w:val="00B7680C"/>
    <w:pPr>
      <w:shd w:val="clear" w:color="auto" w:fill="E7EEE6"/>
      <w:spacing w:before="100" w:beforeAutospacing="1"/>
    </w:pPr>
  </w:style>
  <w:style w:type="paragraph" w:customStyle="1" w:styleId="mastfont10">
    <w:name w:val="mastfont10"/>
    <w:basedOn w:val="Normal"/>
    <w:rsid w:val="00B7680C"/>
    <w:pPr>
      <w:spacing w:before="100" w:beforeAutospacing="1"/>
    </w:pPr>
    <w:rPr>
      <w:rFonts w:ascii="Arial" w:hAnsi="Arial" w:cs="Arial"/>
      <w:b/>
      <w:bCs/>
      <w:sz w:val="12"/>
      <w:szCs w:val="12"/>
    </w:rPr>
  </w:style>
  <w:style w:type="paragraph" w:customStyle="1" w:styleId="mastfont16">
    <w:name w:val="mastfont16"/>
    <w:basedOn w:val="Normal"/>
    <w:rsid w:val="00B7680C"/>
    <w:pPr>
      <w:spacing w:before="100" w:beforeAutospacing="1"/>
    </w:pPr>
    <w:rPr>
      <w:rFonts w:ascii="Arial" w:hAnsi="Arial" w:cs="Arial"/>
      <w:b/>
      <w:bCs/>
      <w:sz w:val="18"/>
      <w:szCs w:val="18"/>
    </w:rPr>
  </w:style>
  <w:style w:type="paragraph" w:customStyle="1" w:styleId="headlinefont16">
    <w:name w:val="headlinefont16"/>
    <w:basedOn w:val="Normal"/>
    <w:rsid w:val="00B7680C"/>
    <w:pPr>
      <w:spacing w:before="100" w:beforeAutospacing="1"/>
    </w:pPr>
    <w:rPr>
      <w:rFonts w:ascii="Arial" w:hAnsi="Arial" w:cs="Arial"/>
      <w:sz w:val="18"/>
      <w:szCs w:val="18"/>
    </w:rPr>
  </w:style>
  <w:style w:type="paragraph" w:customStyle="1" w:styleId="bodytextgreyfont10">
    <w:name w:val="bodytextgreyfont10"/>
    <w:basedOn w:val="Normal"/>
    <w:rsid w:val="00B7680C"/>
    <w:pPr>
      <w:spacing w:before="100" w:beforeAutospacing="1"/>
    </w:pPr>
    <w:rPr>
      <w:rFonts w:ascii="Arial" w:hAnsi="Arial" w:cs="Arial"/>
      <w:sz w:val="12"/>
      <w:szCs w:val="12"/>
    </w:rPr>
  </w:style>
  <w:style w:type="paragraph" w:customStyle="1" w:styleId="hdr2blackbold">
    <w:name w:val="hdr2blackbold"/>
    <w:basedOn w:val="Normal"/>
    <w:rsid w:val="00B7680C"/>
    <w:pPr>
      <w:spacing w:before="100" w:beforeAutospacing="1"/>
    </w:pPr>
    <w:rPr>
      <w:rFonts w:ascii="Helvetica" w:hAnsi="Helvetica"/>
      <w:b/>
      <w:bCs/>
      <w:sz w:val="17"/>
      <w:szCs w:val="17"/>
    </w:rPr>
  </w:style>
  <w:style w:type="paragraph" w:styleId="BodyText">
    <w:name w:val="Body Text"/>
    <w:basedOn w:val="Normal"/>
    <w:link w:val="BodyTextChar"/>
    <w:uiPriority w:val="1"/>
    <w:qFormat/>
    <w:rsid w:val="006B2C09"/>
    <w:pPr>
      <w:autoSpaceDE w:val="0"/>
      <w:autoSpaceDN w:val="0"/>
      <w:adjustRightInd w:val="0"/>
      <w:spacing w:before="9"/>
      <w:ind w:left="16"/>
    </w:pPr>
    <w:rPr>
      <w:sz w:val="16"/>
      <w:szCs w:val="16"/>
    </w:rPr>
  </w:style>
  <w:style w:type="character" w:customStyle="1" w:styleId="BodyTextChar">
    <w:name w:val="Body Text Char"/>
    <w:basedOn w:val="DefaultParagraphFont"/>
    <w:link w:val="BodyText"/>
    <w:uiPriority w:val="1"/>
    <w:rsid w:val="006B2C09"/>
    <w:rPr>
      <w:sz w:val="16"/>
      <w:szCs w:val="16"/>
    </w:rPr>
  </w:style>
  <w:style w:type="paragraph" w:customStyle="1" w:styleId="TableParagraph">
    <w:name w:val="Table Paragraph"/>
    <w:basedOn w:val="Normal"/>
    <w:uiPriority w:val="1"/>
    <w:qFormat/>
    <w:rsid w:val="006B2C09"/>
    <w:pPr>
      <w:autoSpaceDE w:val="0"/>
      <w:autoSpaceDN w:val="0"/>
      <w:adjustRightInd w:val="0"/>
    </w:pPr>
  </w:style>
  <w:style w:type="character" w:customStyle="1" w:styleId="sitename-nal1">
    <w:name w:val="sitename-nal1"/>
    <w:basedOn w:val="DefaultParagraphFont"/>
    <w:rsid w:val="00750FDD"/>
    <w:rPr>
      <w:b/>
      <w:bCs/>
      <w:color w:val="000000"/>
      <w:sz w:val="29"/>
      <w:szCs w:val="29"/>
    </w:rPr>
  </w:style>
  <w:style w:type="character" w:customStyle="1" w:styleId="copy1">
    <w:name w:val="copy1"/>
    <w:basedOn w:val="DefaultParagraphFont"/>
    <w:rsid w:val="00B321CA"/>
    <w:rPr>
      <w:rFonts w:ascii="Arial" w:hAnsi="Arial" w:cs="Arial" w:hint="default"/>
      <w:sz w:val="20"/>
      <w:szCs w:val="20"/>
    </w:rPr>
  </w:style>
  <w:style w:type="paragraph" w:customStyle="1" w:styleId="xl65">
    <w:name w:val="xl65"/>
    <w:basedOn w:val="Normal"/>
    <w:rsid w:val="008E44D3"/>
    <w:pPr>
      <w:shd w:val="clear" w:color="000000" w:fill="FFFFFF"/>
      <w:spacing w:before="100" w:beforeAutospacing="1"/>
    </w:pPr>
  </w:style>
  <w:style w:type="paragraph" w:customStyle="1" w:styleId="xl66">
    <w:name w:val="xl66"/>
    <w:basedOn w:val="Normal"/>
    <w:rsid w:val="008E44D3"/>
    <w:pPr>
      <w:shd w:val="clear" w:color="000000" w:fill="FFFFFF"/>
      <w:spacing w:before="100" w:beforeAutospacing="1"/>
    </w:pPr>
  </w:style>
  <w:style w:type="paragraph" w:customStyle="1" w:styleId="xl67">
    <w:name w:val="xl67"/>
    <w:basedOn w:val="Normal"/>
    <w:rsid w:val="008E44D3"/>
    <w:pPr>
      <w:pBdr>
        <w:top w:val="single" w:sz="4" w:space="0" w:color="auto"/>
        <w:left w:val="single" w:sz="4" w:space="0" w:color="auto"/>
        <w:bottom w:val="single" w:sz="4" w:space="0" w:color="auto"/>
        <w:right w:val="single" w:sz="4" w:space="0" w:color="auto"/>
      </w:pBdr>
      <w:shd w:val="clear" w:color="000000" w:fill="FFFFFF"/>
      <w:spacing w:before="100" w:beforeAutospacing="1"/>
    </w:pPr>
  </w:style>
  <w:style w:type="paragraph" w:customStyle="1" w:styleId="xl68">
    <w:name w:val="xl68"/>
    <w:basedOn w:val="Normal"/>
    <w:rsid w:val="008E44D3"/>
    <w:pPr>
      <w:pBdr>
        <w:top w:val="single" w:sz="4" w:space="0" w:color="auto"/>
        <w:left w:val="single" w:sz="4" w:space="0" w:color="auto"/>
        <w:bottom w:val="single" w:sz="4" w:space="0" w:color="auto"/>
        <w:right w:val="single" w:sz="4" w:space="0" w:color="auto"/>
      </w:pBdr>
      <w:shd w:val="clear" w:color="000000" w:fill="FFFFFF"/>
      <w:spacing w:before="100" w:beforeAutospacing="1"/>
    </w:pPr>
  </w:style>
  <w:style w:type="paragraph" w:customStyle="1" w:styleId="xl69">
    <w:name w:val="xl69"/>
    <w:basedOn w:val="Normal"/>
    <w:rsid w:val="008E44D3"/>
    <w:pPr>
      <w:pBdr>
        <w:top w:val="single" w:sz="4" w:space="0" w:color="auto"/>
        <w:left w:val="single" w:sz="4" w:space="0" w:color="auto"/>
        <w:bottom w:val="single" w:sz="4" w:space="0" w:color="auto"/>
        <w:right w:val="single" w:sz="4" w:space="0" w:color="auto"/>
      </w:pBdr>
      <w:shd w:val="clear" w:color="000000" w:fill="F2F2F2"/>
      <w:spacing w:before="100" w:beforeAutospacing="1"/>
    </w:pPr>
  </w:style>
  <w:style w:type="paragraph" w:customStyle="1" w:styleId="xl70">
    <w:name w:val="xl70"/>
    <w:basedOn w:val="Normal"/>
    <w:rsid w:val="008E44D3"/>
    <w:pPr>
      <w:pBdr>
        <w:top w:val="single" w:sz="4" w:space="0" w:color="auto"/>
        <w:left w:val="single" w:sz="4" w:space="0" w:color="auto"/>
        <w:bottom w:val="single" w:sz="4" w:space="0" w:color="auto"/>
        <w:right w:val="single" w:sz="4" w:space="0" w:color="auto"/>
      </w:pBdr>
      <w:shd w:val="clear" w:color="000000" w:fill="F2F2F2"/>
      <w:spacing w:before="100" w:beforeAutospacing="1"/>
      <w:jc w:val="center"/>
    </w:pPr>
  </w:style>
  <w:style w:type="paragraph" w:customStyle="1" w:styleId="xl71">
    <w:name w:val="xl71"/>
    <w:basedOn w:val="Normal"/>
    <w:rsid w:val="008E44D3"/>
    <w:pPr>
      <w:pBdr>
        <w:top w:val="single" w:sz="4" w:space="0" w:color="auto"/>
        <w:left w:val="single" w:sz="4" w:space="0" w:color="auto"/>
        <w:bottom w:val="single" w:sz="4" w:space="0" w:color="auto"/>
        <w:right w:val="single" w:sz="4" w:space="0" w:color="auto"/>
      </w:pBdr>
      <w:shd w:val="clear" w:color="000000" w:fill="FFFFFF"/>
      <w:spacing w:before="100" w:beforeAutospacing="1"/>
      <w:jc w:val="center"/>
    </w:pPr>
  </w:style>
  <w:style w:type="paragraph" w:customStyle="1" w:styleId="xl72">
    <w:name w:val="xl72"/>
    <w:basedOn w:val="Normal"/>
    <w:rsid w:val="008E44D3"/>
    <w:pPr>
      <w:shd w:val="clear" w:color="000000" w:fill="FFFFFF"/>
      <w:spacing w:before="100" w:beforeAutospacing="1"/>
      <w:jc w:val="center"/>
    </w:pPr>
  </w:style>
  <w:style w:type="paragraph" w:customStyle="1" w:styleId="xl73">
    <w:name w:val="xl73"/>
    <w:basedOn w:val="Normal"/>
    <w:rsid w:val="008E44D3"/>
    <w:pPr>
      <w:shd w:val="clear" w:color="000000" w:fill="FFFFFF"/>
      <w:spacing w:before="100" w:beforeAutospacing="1"/>
      <w:textAlignment w:val="center"/>
    </w:pPr>
  </w:style>
  <w:style w:type="character" w:customStyle="1" w:styleId="ya-q-full-text">
    <w:name w:val="ya-q-full-text"/>
    <w:basedOn w:val="DefaultParagraphFont"/>
    <w:rsid w:val="009B66F5"/>
  </w:style>
  <w:style w:type="paragraph" w:customStyle="1" w:styleId="EndNoteBibliography">
    <w:name w:val="EndNote Bibliography"/>
    <w:basedOn w:val="Normal"/>
    <w:link w:val="EndNoteBibliographyChar"/>
    <w:rsid w:val="00621A20"/>
    <w:pPr>
      <w:spacing w:after="160"/>
    </w:pPr>
    <w:rPr>
      <w:noProof/>
    </w:rPr>
  </w:style>
  <w:style w:type="character" w:customStyle="1" w:styleId="EndNoteBibliographyChar">
    <w:name w:val="EndNote Bibliography Char"/>
    <w:basedOn w:val="DefaultParagraphFont"/>
    <w:link w:val="EndNoteBibliography"/>
    <w:rsid w:val="00621A20"/>
    <w:rPr>
      <w:noProof/>
      <w:szCs w:val="24"/>
    </w:rPr>
  </w:style>
  <w:style w:type="paragraph" w:customStyle="1" w:styleId="gmail-msolistparagraph">
    <w:name w:val="gmail-msolistparagraph"/>
    <w:basedOn w:val="Normal"/>
    <w:rsid w:val="00527494"/>
    <w:pPr>
      <w:spacing w:before="100" w:beforeAutospacing="1"/>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ars-grin.gov/cgi-bin/npgs/html/taxon.pl?41030" TargetMode="External"/><Relationship Id="rId21" Type="http://schemas.openxmlformats.org/officeDocument/2006/relationships/hyperlink" Target="http://www.ars-grin.gov/cgi-bin/npgs/html/taxon.pl?41030" TargetMode="External"/><Relationship Id="rId42" Type="http://schemas.openxmlformats.org/officeDocument/2006/relationships/hyperlink" Target="http://www.ars-grin.gov/cgi-bin/npgs/html/taxon.pl?41040" TargetMode="External"/><Relationship Id="rId47" Type="http://schemas.openxmlformats.org/officeDocument/2006/relationships/hyperlink" Target="http://www.aphis.usda.gov/plant_health/permits/" TargetMode="External"/><Relationship Id="rId63" Type="http://schemas.openxmlformats.org/officeDocument/2006/relationships/hyperlink" Target="http://www.ars-grin.gov/cgi-bin/npgs/html/taxon.pl?416059" TargetMode="External"/><Relationship Id="rId68" Type="http://schemas.openxmlformats.org/officeDocument/2006/relationships/hyperlink" Target="http://www.ars-grin.gov/cgi-bin/npgs/html/taxon.pl?41047" TargetMode="External"/><Relationship Id="rId84" Type="http://schemas.openxmlformats.org/officeDocument/2006/relationships/hyperlink" Target="http://www.ars-grin.gov/cgi-bin/npgs/html/taxon.pl?41069" TargetMode="External"/><Relationship Id="rId16" Type="http://schemas.openxmlformats.org/officeDocument/2006/relationships/hyperlink" Target="https://link.springer.com/article/10.1007/s11032-017-0639-3" TargetMode="External"/><Relationship Id="rId11" Type="http://schemas.openxmlformats.org/officeDocument/2006/relationships/image" Target="media/image4.png"/><Relationship Id="rId32" Type="http://schemas.openxmlformats.org/officeDocument/2006/relationships/hyperlink" Target="http://www.ars-grin.gov/cgi-bin/npgs/html/taxon.pl?41069" TargetMode="External"/><Relationship Id="rId37" Type="http://schemas.openxmlformats.org/officeDocument/2006/relationships/hyperlink" Target="http://www.ars-grin.gov/cgi-bin/npgs/html/taxon.pl?41069" TargetMode="External"/><Relationship Id="rId53" Type="http://schemas.openxmlformats.org/officeDocument/2006/relationships/hyperlink" Target="http://www.fao.org/faostat/en/" TargetMode="External"/><Relationship Id="rId58" Type="http://schemas.openxmlformats.org/officeDocument/2006/relationships/hyperlink" Target="http://www.ars-grin.gov/cgi-bin/npgs/html/taxon.pl?416058" TargetMode="External"/><Relationship Id="rId74" Type="http://schemas.openxmlformats.org/officeDocument/2006/relationships/hyperlink" Target="http://www.ars-grin.gov/cgi-bin/npgs/html/taxon.pl?41069" TargetMode="External"/><Relationship Id="rId79" Type="http://schemas.openxmlformats.org/officeDocument/2006/relationships/hyperlink" Target="http://www.ars-grin.gov/cgi-bin/npgs/html/taxon.pl?41069" TargetMode="External"/><Relationship Id="rId5" Type="http://schemas.openxmlformats.org/officeDocument/2006/relationships/webSettings" Target="webSettings.xml"/><Relationship Id="rId19" Type="http://schemas.openxmlformats.org/officeDocument/2006/relationships/hyperlink" Target="http://www.ars-grin.gov/cgi-bin/npgs/html/taxon.pl?41030" TargetMode="External"/><Relationship Id="rId14" Type="http://schemas.openxmlformats.org/officeDocument/2006/relationships/image" Target="media/image7.png"/><Relationship Id="rId22" Type="http://schemas.openxmlformats.org/officeDocument/2006/relationships/hyperlink" Target="http://www.ars-grin.gov/cgi-bin/npgs/html/taxon.pl?41030" TargetMode="External"/><Relationship Id="rId27" Type="http://schemas.openxmlformats.org/officeDocument/2006/relationships/hyperlink" Target="http://www.ars-grin.gov/cgi-bin/npgs/html/taxon.pl?41047" TargetMode="External"/><Relationship Id="rId30" Type="http://schemas.openxmlformats.org/officeDocument/2006/relationships/hyperlink" Target="http://www.ars-grin.gov/cgi-bin/npgs/html/taxon.pl?41047" TargetMode="External"/><Relationship Id="rId35" Type="http://schemas.openxmlformats.org/officeDocument/2006/relationships/hyperlink" Target="http://www.ars-grin.gov/cgi-bin/npgs/html/taxon.pl?41069" TargetMode="External"/><Relationship Id="rId43" Type="http://schemas.openxmlformats.org/officeDocument/2006/relationships/hyperlink" Target="http://www.ars-grin.gov/cgi-bin/npgs/html/taxon.pl?41063" TargetMode="External"/><Relationship Id="rId48" Type="http://schemas.openxmlformats.org/officeDocument/2006/relationships/hyperlink" Target="http://www.ars.usda.gov/main/site_main.htm?modecode=53-58-15-00" TargetMode="External"/><Relationship Id="rId56" Type="http://schemas.openxmlformats.org/officeDocument/2006/relationships/hyperlink" Target="http://www.ars-grin.gov/cgi-bin/npgs/html/taxon.pl?416058" TargetMode="External"/><Relationship Id="rId64" Type="http://schemas.openxmlformats.org/officeDocument/2006/relationships/hyperlink" Target="http://www.ars-grin.gov/cgi-bin/npgs/html/taxon.pl?315258" TargetMode="External"/><Relationship Id="rId69" Type="http://schemas.openxmlformats.org/officeDocument/2006/relationships/hyperlink" Target="http://www.ars-grin.gov/cgi-bin/npgs/html/taxon.pl?41047" TargetMode="External"/><Relationship Id="rId77" Type="http://schemas.openxmlformats.org/officeDocument/2006/relationships/hyperlink" Target="http://www.ars-grin.gov/cgi-bin/npgs/html/taxon.pl?41069" TargetMode="External"/><Relationship Id="rId8" Type="http://schemas.openxmlformats.org/officeDocument/2006/relationships/image" Target="media/image1.jpg"/><Relationship Id="rId51" Type="http://schemas.openxmlformats.org/officeDocument/2006/relationships/hyperlink" Target="https://npgsweb.ars-grin.gov/gringlobal/taxonomybrowse.aspx" TargetMode="External"/><Relationship Id="rId72" Type="http://schemas.openxmlformats.org/officeDocument/2006/relationships/hyperlink" Target="http://www.ars-grin.gov/cgi-bin/npgs/html/taxon.pl?41069" TargetMode="External"/><Relationship Id="rId80" Type="http://schemas.openxmlformats.org/officeDocument/2006/relationships/hyperlink" Target="http://www.ars-grin.gov/cgi-bin/npgs/html/taxon.pl?41069" TargetMode="External"/><Relationship Id="rId85" Type="http://schemas.openxmlformats.org/officeDocument/2006/relationships/hyperlink" Target="http://www.ars-grin.gov/cgi-bin/npgs/html/taxon.pl?4106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ndb.nal.usda.gov/ndb/foods/show/2191?fgcd=&amp;manu=&amp;lfacet=&amp;format=&amp;count=&amp;max=50&amp;offset=&amp;sort=default&amp;order=asc&amp;qlookup=cranberries&amp;ds=Standard+Reference&amp;qt=&amp;qp=&amp;qa=&amp;qn=&amp;q=&amp;ing" TargetMode="External"/><Relationship Id="rId25" Type="http://schemas.openxmlformats.org/officeDocument/2006/relationships/hyperlink" Target="http://www.ars-grin.gov/cgi-bin/npgs/html/taxon.pl?41030" TargetMode="External"/><Relationship Id="rId33" Type="http://schemas.openxmlformats.org/officeDocument/2006/relationships/hyperlink" Target="http://www.ars-grin.gov/cgi-bin/npgs/html/taxon.pl?41069" TargetMode="External"/><Relationship Id="rId38" Type="http://schemas.openxmlformats.org/officeDocument/2006/relationships/hyperlink" Target="http://www.ars-grin.gov/cgi-bin/npgs/html/taxon.pl?41069" TargetMode="External"/><Relationship Id="rId46" Type="http://schemas.openxmlformats.org/officeDocument/2006/relationships/hyperlink" Target="http://www.ars-grin.gov/cgi-bin/npgs/html/taxon.pl?41063" TargetMode="External"/><Relationship Id="rId59" Type="http://schemas.openxmlformats.org/officeDocument/2006/relationships/hyperlink" Target="http://www.ars-grin.gov/cgi-bin/npgs/html/taxon.pl?416058" TargetMode="External"/><Relationship Id="rId67" Type="http://schemas.openxmlformats.org/officeDocument/2006/relationships/hyperlink" Target="http://www.ars-grin.gov/cgi-bin/npgs/html/taxon.pl?41030" TargetMode="External"/><Relationship Id="rId20" Type="http://schemas.openxmlformats.org/officeDocument/2006/relationships/hyperlink" Target="http://www.ars-grin.gov/cgi-bin/npgs/html/taxon.pl?41030" TargetMode="External"/><Relationship Id="rId41" Type="http://schemas.openxmlformats.org/officeDocument/2006/relationships/hyperlink" Target="http://www.ars-grin.gov/cgi-bin/npgs/html/taxon.pl?41040" TargetMode="External"/><Relationship Id="rId54" Type="http://schemas.openxmlformats.org/officeDocument/2006/relationships/hyperlink" Target="http://www.ars-grin.gov/cgi-bin/npgs/html/taxon.pl?41013" TargetMode="External"/><Relationship Id="rId62" Type="http://schemas.openxmlformats.org/officeDocument/2006/relationships/hyperlink" Target="http://www.ars-grin.gov/cgi-bin/npgs/html/taxon.pl?416059" TargetMode="External"/><Relationship Id="rId70" Type="http://schemas.openxmlformats.org/officeDocument/2006/relationships/hyperlink" Target="http://www.ars-grin.gov/cgi-bin/npgs/html/taxon.pl?41069" TargetMode="External"/><Relationship Id="rId75" Type="http://schemas.openxmlformats.org/officeDocument/2006/relationships/hyperlink" Target="http://www.ars-grin.gov/cgi-bin/npgs/html/taxon.pl?41069" TargetMode="External"/><Relationship Id="rId83" Type="http://schemas.openxmlformats.org/officeDocument/2006/relationships/hyperlink" Target="http://www.ars-grin.gov/cgi-bin/npgs/html/taxon.pl?41069"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journal.ashspublications.org/content/140/3/233.abstract" TargetMode="External"/><Relationship Id="rId23" Type="http://schemas.openxmlformats.org/officeDocument/2006/relationships/hyperlink" Target="http://www.ars-grin.gov/cgi-bin/npgs/html/taxon.pl?41030" TargetMode="External"/><Relationship Id="rId28" Type="http://schemas.openxmlformats.org/officeDocument/2006/relationships/hyperlink" Target="http://www.ars-grin.gov/cgi-bin/npgs/html/taxon.pl?41047" TargetMode="External"/><Relationship Id="rId36" Type="http://schemas.openxmlformats.org/officeDocument/2006/relationships/hyperlink" Target="http://www.ars-grin.gov/cgi-bin/npgs/html/taxon.pl?41069" TargetMode="External"/><Relationship Id="rId49" Type="http://schemas.openxmlformats.org/officeDocument/2006/relationships/hyperlink" Target="https://npgsweb.ars-grin.gov/gringlobal/taxon/taxonomysearch" TargetMode="External"/><Relationship Id="rId57" Type="http://schemas.openxmlformats.org/officeDocument/2006/relationships/hyperlink" Target="http://www.ars-grin.gov/cgi-bin/npgs/html/taxon.pl?416058" TargetMode="External"/><Relationship Id="rId10" Type="http://schemas.openxmlformats.org/officeDocument/2006/relationships/image" Target="media/image3.png"/><Relationship Id="rId31" Type="http://schemas.openxmlformats.org/officeDocument/2006/relationships/hyperlink" Target="http://www.ars-grin.gov/cgi-bin/npgs/html/taxon.pl?41069" TargetMode="External"/><Relationship Id="rId44" Type="http://schemas.openxmlformats.org/officeDocument/2006/relationships/hyperlink" Target="http://www.ars-grin.gov/cgi-bin/npgs/html/taxon.pl?41063" TargetMode="External"/><Relationship Id="rId52" Type="http://schemas.openxmlformats.org/officeDocument/2006/relationships/hyperlink" Target="http://explorer.natureserve.org" TargetMode="External"/><Relationship Id="rId60" Type="http://schemas.openxmlformats.org/officeDocument/2006/relationships/hyperlink" Target="http://www.ars-grin.gov/cgi-bin/npgs/html/taxon.pl?416059" TargetMode="External"/><Relationship Id="rId65" Type="http://schemas.openxmlformats.org/officeDocument/2006/relationships/hyperlink" Target="http://www.ars-grin.gov/cgi-bin/npgs/html/taxon.pl?315258" TargetMode="External"/><Relationship Id="rId73" Type="http://schemas.openxmlformats.org/officeDocument/2006/relationships/hyperlink" Target="http://www.ars-grin.gov/cgi-bin/npgs/html/taxon.pl?41069" TargetMode="External"/><Relationship Id="rId78" Type="http://schemas.openxmlformats.org/officeDocument/2006/relationships/hyperlink" Target="http://www.ars-grin.gov/cgi-bin/npgs/html/taxon.pl?41069" TargetMode="External"/><Relationship Id="rId81" Type="http://schemas.openxmlformats.org/officeDocument/2006/relationships/hyperlink" Target="http://www.ars-grin.gov/cgi-bin/npgs/html/taxon.pl?41069"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fs.fed.us/wildflowers/ethnobotany/documents/cwr/FrameworkNativeCropWildRelativesOct2014.pdf" TargetMode="External"/><Relationship Id="rId39" Type="http://schemas.openxmlformats.org/officeDocument/2006/relationships/hyperlink" Target="http://www.ars-grin.gov/cgi-bin/npgs/html/taxon.pl?41040" TargetMode="External"/><Relationship Id="rId34" Type="http://schemas.openxmlformats.org/officeDocument/2006/relationships/hyperlink" Target="http://www.ars-grin.gov/cgi-bin/npgs/html/taxon.pl?41069" TargetMode="External"/><Relationship Id="rId50" Type="http://schemas.openxmlformats.org/officeDocument/2006/relationships/hyperlink" Target="http://www.cranberryinstitute.org/about_cran/Cropstatistics_about.html" TargetMode="External"/><Relationship Id="rId55" Type="http://schemas.openxmlformats.org/officeDocument/2006/relationships/hyperlink" Target="http://www.ars-grin.gov/cgi-bin/npgs/html/taxon.pl?41013" TargetMode="External"/><Relationship Id="rId76" Type="http://schemas.openxmlformats.org/officeDocument/2006/relationships/hyperlink" Target="http://www.ars-grin.gov/cgi-bin/npgs/html/taxon.pl?41069" TargetMode="External"/><Relationship Id="rId7" Type="http://schemas.openxmlformats.org/officeDocument/2006/relationships/endnotes" Target="endnotes.xml"/><Relationship Id="rId71" Type="http://schemas.openxmlformats.org/officeDocument/2006/relationships/hyperlink" Target="http://www.ars-grin.gov/cgi-bin/npgs/html/taxon.pl?41069" TargetMode="External"/><Relationship Id="rId2" Type="http://schemas.openxmlformats.org/officeDocument/2006/relationships/numbering" Target="numbering.xml"/><Relationship Id="rId29" Type="http://schemas.openxmlformats.org/officeDocument/2006/relationships/hyperlink" Target="http://www.ars-grin.gov/cgi-bin/npgs/html/taxon.pl?41047" TargetMode="External"/><Relationship Id="rId24" Type="http://schemas.openxmlformats.org/officeDocument/2006/relationships/hyperlink" Target="http://www.ars-grin.gov/cgi-bin/npgs/html/taxon.pl?41030" TargetMode="External"/><Relationship Id="rId40" Type="http://schemas.openxmlformats.org/officeDocument/2006/relationships/hyperlink" Target="http://www.ars-grin.gov/cgi-bin/npgs/html/taxon.pl?41040" TargetMode="External"/><Relationship Id="rId45" Type="http://schemas.openxmlformats.org/officeDocument/2006/relationships/hyperlink" Target="http://www.ars-grin.gov/cgi-bin/npgs/html/taxon.pl?41063" TargetMode="External"/><Relationship Id="rId66" Type="http://schemas.openxmlformats.org/officeDocument/2006/relationships/hyperlink" Target="http://www.ars-grin.gov/cgi-bin/npgs/html/taxon.pl?41030" TargetMode="External"/><Relationship Id="rId87" Type="http://schemas.openxmlformats.org/officeDocument/2006/relationships/fontTable" Target="fontTable.xml"/><Relationship Id="rId61" Type="http://schemas.openxmlformats.org/officeDocument/2006/relationships/hyperlink" Target="http://www.ars-grin.gov/cgi-bin/npgs/html/taxon.pl?416059" TargetMode="External"/><Relationship Id="rId82" Type="http://schemas.openxmlformats.org/officeDocument/2006/relationships/hyperlink" Target="http://www.ars-grin.gov/cgi-bin/npgs/html/taxon.pl?410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h8O03/+wlqCJUTjffEodV7JHVg==">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24</Pages>
  <Words>9499</Words>
  <Characters>54145</Characters>
  <Application>Microsoft Office Word</Application>
  <DocSecurity>0</DocSecurity>
  <Lines>451</Lines>
  <Paragraphs>127</Paragraphs>
  <ScaleCrop>false</ScaleCrop>
  <Company/>
  <LinksUpToDate>false</LinksUpToDate>
  <CharactersWithSpaces>63517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kim.hummer</dc:creator>
  <cp:lastModifiedBy>Neyhart, Jeffrey - REE-ARS</cp:lastModifiedBy>
  <cp:revision>5</cp:revision>
  <dcterms:created xsi:type="dcterms:W3CDTF">2023-02-13T21:27:00Z</dcterms:created>
  <dcterms:modified xsi:type="dcterms:W3CDTF">2023-07-24T12:21:00Z</dcterms:modified>
</cp:coreProperties>
</file>